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8D6" w:rsidRDefault="004E4A9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Временная инструкция для включения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в Реестр участников бюджетного процесса, а также юридических лиц, не являющихся участникам бюджетного процесса, в подсистеме ведения нормативной справочной информации государственной информационной системы управления общественными финансами «Электронный бюджет» вновь созданных финансовых органов</w:t>
      </w:r>
      <w:r>
        <w:rPr>
          <w:rFonts w:ascii="Times New Roman" w:hAnsi="Times New Roman" w:cs="Times New Roman"/>
          <w:b/>
          <w:sz w:val="28"/>
          <w:szCs w:val="28"/>
        </w:rPr>
        <w:br/>
      </w:r>
    </w:p>
    <w:p w:rsidR="001048D6" w:rsidRDefault="001048D6">
      <w:pPr>
        <w:pStyle w:val="ASFKNormal"/>
        <w:spacing w:before="0" w:after="0" w:line="360" w:lineRule="auto"/>
        <w:ind w:firstLine="0"/>
        <w:rPr>
          <w:sz w:val="28"/>
          <w:szCs w:val="28"/>
        </w:rPr>
      </w:pPr>
    </w:p>
    <w:p w:rsidR="001048D6" w:rsidRDefault="004E4A9C">
      <w:pPr>
        <w:pStyle w:val="ASFKNormal"/>
        <w:spacing w:before="0" w:after="0"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Термины и сокращения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3301"/>
        <w:gridCol w:w="6610"/>
      </w:tblGrid>
      <w:tr w:rsidR="001048D6">
        <w:tc>
          <w:tcPr>
            <w:tcW w:w="3369" w:type="dxa"/>
          </w:tcPr>
          <w:p w:rsidR="001048D6" w:rsidRDefault="004E4A9C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Термин и сокращения</w:t>
            </w:r>
          </w:p>
        </w:tc>
        <w:tc>
          <w:tcPr>
            <w:tcW w:w="6768" w:type="dxa"/>
          </w:tcPr>
          <w:p w:rsidR="001048D6" w:rsidRDefault="004E4A9C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Описание</w:t>
            </w:r>
          </w:p>
        </w:tc>
      </w:tr>
      <w:tr w:rsidR="001048D6">
        <w:tc>
          <w:tcPr>
            <w:tcW w:w="3369" w:type="dxa"/>
          </w:tcPr>
          <w:p w:rsidR="001048D6" w:rsidRDefault="004E4A9C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НСИ ЭБ</w:t>
            </w:r>
          </w:p>
        </w:tc>
        <w:tc>
          <w:tcPr>
            <w:tcW w:w="6768" w:type="dxa"/>
          </w:tcPr>
          <w:p w:rsidR="001048D6" w:rsidRDefault="004E4A9C">
            <w:pPr>
              <w:pStyle w:val="ASFK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Подсистема ведения нормативной справочной информации государственной информационной системы управления общественными финансами «Электронный бюджет»</w:t>
            </w:r>
          </w:p>
        </w:tc>
      </w:tr>
      <w:tr w:rsidR="001048D6">
        <w:tc>
          <w:tcPr>
            <w:tcW w:w="3369" w:type="dxa"/>
          </w:tcPr>
          <w:p w:rsidR="001048D6" w:rsidRDefault="004E4A9C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Заявка</w:t>
            </w:r>
          </w:p>
        </w:tc>
        <w:tc>
          <w:tcPr>
            <w:tcW w:w="6768" w:type="dxa"/>
          </w:tcPr>
          <w:p w:rsidR="001048D6" w:rsidRDefault="004E4A9C">
            <w:pPr>
              <w:pStyle w:val="ASFK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формуляр «Заявка на включение (изменение) информации об организации в Сводный реестр»</w:t>
            </w:r>
          </w:p>
        </w:tc>
      </w:tr>
      <w:tr w:rsidR="001048D6">
        <w:tc>
          <w:tcPr>
            <w:tcW w:w="3369" w:type="dxa"/>
          </w:tcPr>
          <w:p w:rsidR="001048D6" w:rsidRDefault="004E4A9C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</w:t>
            </w:r>
          </w:p>
        </w:tc>
        <w:tc>
          <w:tcPr>
            <w:tcW w:w="6768" w:type="dxa"/>
          </w:tcPr>
          <w:p w:rsidR="001048D6" w:rsidRDefault="004E4A9C">
            <w:pPr>
              <w:pStyle w:val="ASFK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формуляр «Решение по изменению Сводного реестра»</w:t>
            </w:r>
          </w:p>
        </w:tc>
      </w:tr>
      <w:tr w:rsidR="001048D6">
        <w:tc>
          <w:tcPr>
            <w:tcW w:w="3369" w:type="dxa"/>
          </w:tcPr>
          <w:p w:rsidR="001048D6" w:rsidRDefault="004E4A9C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ЕГРЮЛ</w:t>
            </w:r>
          </w:p>
        </w:tc>
        <w:tc>
          <w:tcPr>
            <w:tcW w:w="6768" w:type="dxa"/>
          </w:tcPr>
          <w:p w:rsidR="001048D6" w:rsidRDefault="004E4A9C">
            <w:pPr>
              <w:pStyle w:val="ASFK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Единый государственный реестр юридических лиц</w:t>
            </w:r>
          </w:p>
        </w:tc>
      </w:tr>
      <w:tr w:rsidR="001048D6">
        <w:tc>
          <w:tcPr>
            <w:tcW w:w="3369" w:type="dxa"/>
          </w:tcPr>
          <w:p w:rsidR="001048D6" w:rsidRDefault="004E4A9C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ОГРН</w:t>
            </w:r>
          </w:p>
        </w:tc>
        <w:tc>
          <w:tcPr>
            <w:tcW w:w="6768" w:type="dxa"/>
          </w:tcPr>
          <w:p w:rsidR="001048D6" w:rsidRDefault="004E4A9C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</w:tr>
      <w:tr w:rsidR="001048D6">
        <w:tc>
          <w:tcPr>
            <w:tcW w:w="3369" w:type="dxa"/>
          </w:tcPr>
          <w:p w:rsidR="001048D6" w:rsidRDefault="004E4A9C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</w:t>
            </w:r>
          </w:p>
        </w:tc>
        <w:tc>
          <w:tcPr>
            <w:tcW w:w="6768" w:type="dxa"/>
          </w:tcPr>
          <w:p w:rsidR="001048D6" w:rsidRDefault="004E4A9C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Идентификационный номер налогоплательщика</w:t>
            </w:r>
          </w:p>
        </w:tc>
      </w:tr>
      <w:tr w:rsidR="001048D6">
        <w:tc>
          <w:tcPr>
            <w:tcW w:w="3369" w:type="dxa"/>
          </w:tcPr>
          <w:p w:rsidR="001048D6" w:rsidRDefault="004E4A9C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КПП</w:t>
            </w:r>
          </w:p>
        </w:tc>
        <w:tc>
          <w:tcPr>
            <w:tcW w:w="6768" w:type="dxa"/>
          </w:tcPr>
          <w:p w:rsidR="001048D6" w:rsidRDefault="004E4A9C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причины постановки на учет юридического лица</w:t>
            </w:r>
          </w:p>
        </w:tc>
      </w:tr>
      <w:tr w:rsidR="001048D6">
        <w:tc>
          <w:tcPr>
            <w:tcW w:w="3369" w:type="dxa"/>
          </w:tcPr>
          <w:p w:rsidR="001048D6" w:rsidRDefault="004E4A9C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Сводный реестр</w:t>
            </w:r>
          </w:p>
        </w:tc>
        <w:tc>
          <w:tcPr>
            <w:tcW w:w="6768" w:type="dxa"/>
          </w:tcPr>
          <w:p w:rsidR="001048D6" w:rsidRDefault="004E4A9C">
            <w:pPr>
              <w:pStyle w:val="ASFK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Реестр участников бюджетного процесса, а также юридических лиц, не являющихся участникам бюджетного процесса</w:t>
            </w:r>
          </w:p>
        </w:tc>
      </w:tr>
      <w:tr w:rsidR="001048D6">
        <w:tc>
          <w:tcPr>
            <w:tcW w:w="3369" w:type="dxa"/>
          </w:tcPr>
          <w:p w:rsidR="001048D6" w:rsidRDefault="004E4A9C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</w:t>
            </w:r>
          </w:p>
        </w:tc>
        <w:tc>
          <w:tcPr>
            <w:tcW w:w="6768" w:type="dxa"/>
          </w:tcPr>
          <w:p w:rsidR="001048D6" w:rsidRDefault="004E4A9C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Финансовый орган субъекта Российской Федерации</w:t>
            </w:r>
          </w:p>
        </w:tc>
      </w:tr>
      <w:tr w:rsidR="001048D6">
        <w:tc>
          <w:tcPr>
            <w:tcW w:w="3369" w:type="dxa"/>
          </w:tcPr>
          <w:p w:rsidR="001048D6" w:rsidRDefault="004E4A9C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ФК</w:t>
            </w:r>
          </w:p>
        </w:tc>
        <w:tc>
          <w:tcPr>
            <w:tcW w:w="6768" w:type="dxa"/>
          </w:tcPr>
          <w:p w:rsidR="001048D6" w:rsidRDefault="004E4A9C">
            <w:pPr>
              <w:pStyle w:val="ASFK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Межрегиональное операционное управление Федерального казначейства</w:t>
            </w:r>
          </w:p>
        </w:tc>
      </w:tr>
      <w:tr w:rsidR="001048D6">
        <w:tc>
          <w:tcPr>
            <w:tcW w:w="3369" w:type="dxa"/>
          </w:tcPr>
          <w:p w:rsidR="001048D6" w:rsidRDefault="004E4A9C">
            <w:pPr>
              <w:pStyle w:val="ASFKNormal"/>
              <w:spacing w:before="0" w:after="0"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ПОИБ СОБИ</w:t>
            </w:r>
          </w:p>
        </w:tc>
        <w:tc>
          <w:tcPr>
            <w:tcW w:w="6768" w:type="dxa"/>
          </w:tcPr>
          <w:p w:rsidR="001048D6" w:rsidRDefault="004E4A9C">
            <w:pPr>
              <w:pStyle w:val="ASFK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Подсистема обеспечения информационной безопасности Системы обеспечения безопасности информации Федеральное казначейства</w:t>
            </w:r>
          </w:p>
        </w:tc>
      </w:tr>
    </w:tbl>
    <w:p w:rsidR="001048D6" w:rsidRDefault="001048D6">
      <w:pPr>
        <w:pStyle w:val="ASFKNormal"/>
        <w:spacing w:before="0" w:after="0" w:line="360" w:lineRule="auto"/>
        <w:ind w:firstLine="0"/>
        <w:rPr>
          <w:sz w:val="28"/>
          <w:szCs w:val="28"/>
        </w:rPr>
      </w:pPr>
    </w:p>
    <w:p w:rsidR="001048D6" w:rsidRDefault="004E4A9C">
      <w:pPr>
        <w:pStyle w:val="ASFKNormal"/>
        <w:spacing w:before="0" w:after="0"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Для резервирования уникального кода по Сводному реестру ФО и последующего включения ФО в Сводный реестр необходимо обеспечить выполнение следующих действий в НСИ ЭБ.</w:t>
      </w:r>
    </w:p>
    <w:p w:rsidR="001048D6" w:rsidRDefault="001048D6">
      <w:pPr>
        <w:pStyle w:val="ASFKNormal"/>
        <w:spacing w:before="0" w:after="0" w:line="360" w:lineRule="auto"/>
        <w:ind w:firstLine="0"/>
        <w:rPr>
          <w:sz w:val="28"/>
          <w:szCs w:val="28"/>
        </w:rPr>
      </w:pPr>
    </w:p>
    <w:p w:rsidR="001048D6" w:rsidRDefault="004E4A9C">
      <w:pPr>
        <w:pStyle w:val="1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Toc116583226"/>
      <w:r>
        <w:rPr>
          <w:rFonts w:ascii="Times New Roman" w:hAnsi="Times New Roman" w:cs="Times New Roman"/>
          <w:b/>
          <w:color w:val="auto"/>
          <w:sz w:val="28"/>
          <w:szCs w:val="28"/>
        </w:rPr>
        <w:t>Обновление Справочника ЕГРЮЛ</w:t>
      </w:r>
      <w:bookmarkEnd w:id="1"/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(при необходимости)</w:t>
      </w:r>
    </w:p>
    <w:p w:rsidR="001048D6" w:rsidRDefault="004E4A9C">
      <w:pPr>
        <w:pStyle w:val="af2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Сделать ручной запрос в ФНС в разделе «Запрос сведений в ФНС» в НСИ ЭБ, заполнив реквизиты: ОГРН, ИНН, КПП.</w:t>
      </w:r>
    </w:p>
    <w:p w:rsidR="001048D6" w:rsidRDefault="004E4A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6443345" cy="2902378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460637" cy="29101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07.35pt;height:228.53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Проконтролировать обновление записи в Справочнике ЕГРЮЛ.</w:t>
      </w:r>
    </w:p>
    <w:p w:rsidR="001048D6" w:rsidRDefault="004E4A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5772150" cy="2667000"/>
                <wp:effectExtent l="0" t="0" r="0" b="0"/>
                <wp:docPr id="2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12"/>
                        <a:srcRect r="20602"/>
                        <a:stretch/>
                      </pic:blipFill>
                      <pic:spPr bwMode="auto">
                        <a:xfrm>
                          <a:off x="0" y="0"/>
                          <a:ext cx="5776355" cy="266894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54.50pt;height:210.00pt;mso-wrap-distance-left:0.00pt;mso-wrap-distance-top:0.00pt;mso-wrap-distance-right:0.00pt;mso-wrap-distance-bottom:0.00pt;" stroked="f">
                <v:path textboxrect="0,0,0,0"/>
                <v:imagedata r:id="rId13" o:title=""/>
              </v:shape>
            </w:pict>
          </mc:Fallback>
        </mc:AlternateContent>
      </w:r>
    </w:p>
    <w:p w:rsidR="001048D6" w:rsidRDefault="004E4A9C">
      <w:pPr>
        <w:pStyle w:val="1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Резервирование уникального кода по Сводному реестру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48D6" w:rsidRDefault="004E4A9C">
      <w:pPr>
        <w:pStyle w:val="af2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ТОФК создает Заявку с типом «Включение».</w:t>
      </w:r>
    </w:p>
    <w:p w:rsidR="001048D6" w:rsidRDefault="004E4A9C">
      <w:pPr>
        <w:pStyle w:val="af2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этого в разделе «Реестр заявок на изменение Сводного реестра» нажимаем на кнопку «Создать заявку на включение» с выбором пункта «</w:t>
      </w:r>
      <w:r>
        <w:rPr>
          <w:rFonts w:ascii="Times New Roman" w:hAnsi="Times New Roman" w:cs="Times New Roman"/>
          <w:color w:val="494949"/>
          <w:sz w:val="28"/>
          <w:szCs w:val="28"/>
          <w:shd w:val="clear" w:color="auto" w:fill="FFFFFF"/>
        </w:rPr>
        <w:t xml:space="preserve">ОГВ - организация, являющаяся органом государственной власти, государственным органом, органом местного самоуправления, органом управления </w:t>
      </w:r>
      <w:r>
        <w:rPr>
          <w:rFonts w:ascii="Times New Roman" w:hAnsi="Times New Roman" w:cs="Times New Roman"/>
          <w:color w:val="494949"/>
          <w:sz w:val="28"/>
          <w:szCs w:val="28"/>
          <w:shd w:val="clear" w:color="auto" w:fill="FFFFFF"/>
        </w:rPr>
        <w:lastRenderedPageBreak/>
        <w:t>государственным внебюджетным фондом, Центрального банка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48D6" w:rsidRDefault="004E4A9C">
      <w:pPr>
        <w:pStyle w:val="af2"/>
        <w:numPr>
          <w:ilvl w:val="0"/>
          <w:numId w:val="7"/>
        </w:numPr>
        <w:spacing w:after="0" w:line="360" w:lineRule="auto"/>
        <w:ind w:left="0" w:hanging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Указать ОГРН ФО и нажать кнопку «Заполнить данными из ЕГРЮЛ по ОГРН.</w:t>
      </w:r>
    </w:p>
    <w:p w:rsidR="001048D6" w:rsidRDefault="004E4A9C">
      <w:pPr>
        <w:pStyle w:val="af2"/>
        <w:numPr>
          <w:ilvl w:val="0"/>
          <w:numId w:val="7"/>
        </w:numPr>
        <w:spacing w:after="0" w:line="360" w:lineRule="auto"/>
        <w:ind w:left="0" w:hanging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Заполнить только реквизиты, достаточные для сохранения Заявки. </w:t>
      </w:r>
    </w:p>
    <w:p w:rsidR="001048D6" w:rsidRDefault="004E4A9C">
      <w:pPr>
        <w:pStyle w:val="af2"/>
        <w:numPr>
          <w:ilvl w:val="0"/>
          <w:numId w:val="7"/>
        </w:numPr>
        <w:spacing w:after="0" w:line="360" w:lineRule="auto"/>
        <w:ind w:left="0" w:hanging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реквизитах «СНИЛС» указать нули.</w:t>
      </w:r>
    </w:p>
    <w:p w:rsidR="001048D6" w:rsidRDefault="004E4A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Сохранить Заявку в статусе «Черновик». </w:t>
      </w:r>
    </w:p>
    <w:p w:rsidR="001048D6" w:rsidRDefault="004E4A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В стандартном режиме утвердить Заявку и Решение. В результате утверждения в Сводном реестре будет создана запись с зарезервированным уникальным кодом по Сводному реестру.</w:t>
      </w:r>
    </w:p>
    <w:p w:rsidR="001048D6" w:rsidRDefault="004E4A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После резервирования уникальным кодом по Сводному реестру, ТОФК обеспечивает внесение изменений в справочник «Перечень уполномоченных организаций», путем направления обращения в ПУПЭ на МОУ ФК с приложением файла «Шаблон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Тех.таблицы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1048D6" w:rsidRDefault="00B339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</w:p>
    <w:p w:rsidR="001048D6" w:rsidRDefault="004E4A9C">
      <w:pPr>
        <w:pStyle w:val="1"/>
        <w:numPr>
          <w:ilvl w:val="0"/>
          <w:numId w:val="6"/>
        </w:numPr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Регистрация ФО в ПОИБ СОБИ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48D6" w:rsidRDefault="004E4A9C">
      <w:pPr>
        <w:pStyle w:val="af2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После резервирования уникального кода по Сводному реестру информация о ФО из Сводного реестра автоматически распространяется в ПОИБ СОБИ.</w:t>
      </w:r>
    </w:p>
    <w:p w:rsidR="001048D6" w:rsidRDefault="004E4A9C">
      <w:pPr>
        <w:pStyle w:val="af2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ФО осуществляет назначение сотрудникам ролей в ПОИБ СОБИ для работы в НСИ ЭБ: РУБПНУБП.001 Ввод данных, РУБПНУБП.002 Согласование УО, РУБПНУБП.003 Утверждение УО.</w:t>
      </w:r>
    </w:p>
    <w:p w:rsidR="001048D6" w:rsidRDefault="004E4A9C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 обеспечивает включение в Сводный реестр информации о себе в установленном порядке, с учетом следующих особенностей.</w:t>
      </w:r>
    </w:p>
    <w:p w:rsidR="001048D6" w:rsidRDefault="004E4A9C">
      <w:pPr>
        <w:spacing w:after="0" w:line="36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ФО создает Заявку с типом «Изменение». </w:t>
      </w:r>
    </w:p>
    <w:p w:rsidR="001048D6" w:rsidRDefault="004E4A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Для этого в Сводном реестре нужно выбрать организацию и нажать кнопку «Создать заявку на изменение».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>
                <wp:extent cx="6296025" cy="2933700"/>
                <wp:effectExtent l="0" t="0" r="9525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296024" cy="29336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95.75pt;height:231.00pt;mso-wrap-distance-left:0.00pt;mso-wrap-distance-top:0.00pt;mso-wrap-distance-right:0.00pt;mso-wrap-distance-bottom:0.00pt;" stroked="f">
                <v:path textboxrect="0,0,0,0"/>
                <v:imagedata r:id="rId17" o:title=""/>
              </v:shape>
            </w:pict>
          </mc:Fallback>
        </mc:AlternateContent>
      </w:r>
    </w:p>
    <w:p w:rsidR="001048D6" w:rsidRDefault="004E4A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в разделе «Реестр заявок на изменение Сводного реестра» найти созданную заявку и открыть ее на редактирование. </w:t>
      </w:r>
    </w:p>
    <w:p w:rsidR="001048D6" w:rsidRDefault="004E4A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>
                <wp:extent cx="6296025" cy="2266950"/>
                <wp:effectExtent l="0" t="0" r="9525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6296024" cy="2266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95.75pt;height:178.50pt;mso-wrap-distance-left:0.00pt;mso-wrap-distance-top:0.00pt;mso-wrap-distance-right:0.00pt;mso-wrap-distance-bottom:0.00pt;" stroked="f">
                <v:path textboxrect="0,0,0,0"/>
                <v:imagedata r:id="rId19" o:title=""/>
              </v:shape>
            </w:pict>
          </mc:Fallback>
        </mc:AlternateContent>
      </w:r>
    </w:p>
    <w:p w:rsidR="001048D6" w:rsidRDefault="004E4A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ФО заполняет в Заявке все реквизиты, предусмотренные для заполнения порядком формирования и ведения Сводного реестра.</w:t>
      </w:r>
    </w:p>
    <w:p w:rsidR="001048D6" w:rsidRDefault="004E4A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Дополнительно, в разделе «Сведения о юридическом лице, предоставляющем информацию об организации для включения в Сводный реестр в соответствии с Порядком» необходимо изменить УО с ТОФК на ФО выбором из Сводного реестра, сохранить Заявку, чтобы статус изменился на «Черновик» и закрыть ее.</w:t>
      </w:r>
    </w:p>
    <w:p w:rsidR="001048D6" w:rsidRDefault="004E4A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6286500" cy="2400300"/>
                <wp:effectExtent l="0" t="0" r="0" b="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628650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95.00pt;height:189.00pt;mso-wrap-distance-left:0.00pt;mso-wrap-distance-top:0.00pt;mso-wrap-distance-right:0.00pt;mso-wrap-distance-bottom:0.00pt;" stroked="f">
                <v:path textboxrect="0,0,0,0"/>
                <v:imagedata r:id="rId21" o:title=""/>
              </v:shape>
            </w:pict>
          </mc:Fallback>
        </mc:AlternateContent>
      </w:r>
    </w:p>
    <w:p w:rsidR="001048D6" w:rsidRDefault="004E4A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ФО повторно заходит в Заявку на редактирование, заполняет лист согласования и утверждает Заявку в штатном порядке.</w:t>
      </w:r>
    </w:p>
    <w:p w:rsidR="001048D6" w:rsidRDefault="004E4A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ТОФК утверждает Решение в штатном порядке.</w:t>
      </w:r>
    </w:p>
    <w:p w:rsidR="001048D6" w:rsidRDefault="001048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048D6" w:rsidSect="00B339E9">
      <w:headerReference w:type="default" r:id="rId22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48D6" w:rsidRDefault="004E4A9C">
      <w:pPr>
        <w:spacing w:after="0" w:line="240" w:lineRule="auto"/>
      </w:pPr>
      <w:r>
        <w:separator/>
      </w:r>
    </w:p>
  </w:endnote>
  <w:endnote w:type="continuationSeparator" w:id="0">
    <w:p w:rsidR="001048D6" w:rsidRDefault="004E4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48D6" w:rsidRDefault="004E4A9C">
      <w:pPr>
        <w:spacing w:after="0" w:line="240" w:lineRule="auto"/>
      </w:pPr>
      <w:r>
        <w:separator/>
      </w:r>
    </w:p>
  </w:footnote>
  <w:footnote w:type="continuationSeparator" w:id="0">
    <w:p w:rsidR="001048D6" w:rsidRDefault="004E4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7368493"/>
      <w:docPartObj>
        <w:docPartGallery w:val="Page Numbers (Top of Page)"/>
        <w:docPartUnique/>
      </w:docPartObj>
    </w:sdtPr>
    <w:sdtContent>
      <w:p w:rsidR="00962BA8" w:rsidRDefault="00962BA8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9E9">
          <w:rPr>
            <w:noProof/>
          </w:rPr>
          <w:t>2</w:t>
        </w:r>
        <w:r>
          <w:fldChar w:fldCharType="end"/>
        </w:r>
      </w:p>
    </w:sdtContent>
  </w:sdt>
  <w:p w:rsidR="00962BA8" w:rsidRDefault="00962BA8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99739F"/>
    <w:multiLevelType w:val="multilevel"/>
    <w:tmpl w:val="1A50D25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04" w:hanging="2160"/>
      </w:pPr>
      <w:rPr>
        <w:rFonts w:hint="default"/>
      </w:rPr>
    </w:lvl>
  </w:abstractNum>
  <w:abstractNum w:abstractNumId="1">
    <w:nsid w:val="192A1BF5"/>
    <w:multiLevelType w:val="hybridMultilevel"/>
    <w:tmpl w:val="84A40A30"/>
    <w:lvl w:ilvl="0" w:tplc="3E86E3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6AC872">
      <w:start w:val="1"/>
      <w:numFmt w:val="lowerLetter"/>
      <w:lvlText w:val="%2."/>
      <w:lvlJc w:val="left"/>
      <w:pPr>
        <w:ind w:left="1440" w:hanging="360"/>
      </w:pPr>
    </w:lvl>
    <w:lvl w:ilvl="2" w:tplc="7AA6B39E">
      <w:start w:val="1"/>
      <w:numFmt w:val="lowerRoman"/>
      <w:lvlText w:val="%3."/>
      <w:lvlJc w:val="right"/>
      <w:pPr>
        <w:ind w:left="2160" w:hanging="180"/>
      </w:pPr>
    </w:lvl>
    <w:lvl w:ilvl="3" w:tplc="37981C80">
      <w:start w:val="1"/>
      <w:numFmt w:val="decimal"/>
      <w:lvlText w:val="%4."/>
      <w:lvlJc w:val="left"/>
      <w:pPr>
        <w:ind w:left="2880" w:hanging="360"/>
      </w:pPr>
    </w:lvl>
    <w:lvl w:ilvl="4" w:tplc="E1504D36">
      <w:start w:val="1"/>
      <w:numFmt w:val="lowerLetter"/>
      <w:lvlText w:val="%5."/>
      <w:lvlJc w:val="left"/>
      <w:pPr>
        <w:ind w:left="3600" w:hanging="360"/>
      </w:pPr>
    </w:lvl>
    <w:lvl w:ilvl="5" w:tplc="646A99F0">
      <w:start w:val="1"/>
      <w:numFmt w:val="lowerRoman"/>
      <w:lvlText w:val="%6."/>
      <w:lvlJc w:val="right"/>
      <w:pPr>
        <w:ind w:left="4320" w:hanging="180"/>
      </w:pPr>
    </w:lvl>
    <w:lvl w:ilvl="6" w:tplc="025838C6">
      <w:start w:val="1"/>
      <w:numFmt w:val="decimal"/>
      <w:lvlText w:val="%7."/>
      <w:lvlJc w:val="left"/>
      <w:pPr>
        <w:ind w:left="5040" w:hanging="360"/>
      </w:pPr>
    </w:lvl>
    <w:lvl w:ilvl="7" w:tplc="90104860">
      <w:start w:val="1"/>
      <w:numFmt w:val="lowerLetter"/>
      <w:lvlText w:val="%8."/>
      <w:lvlJc w:val="left"/>
      <w:pPr>
        <w:ind w:left="5760" w:hanging="360"/>
      </w:pPr>
    </w:lvl>
    <w:lvl w:ilvl="8" w:tplc="1A8839E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A510F3"/>
    <w:multiLevelType w:val="hybridMultilevel"/>
    <w:tmpl w:val="CAFCB6B6"/>
    <w:lvl w:ilvl="0" w:tplc="FBB26F4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64BA950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3B7C8558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C1ED8DC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0C69B50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B852AA42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854C4F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C728C7F8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9E82CA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6E31DCC"/>
    <w:multiLevelType w:val="multilevel"/>
    <w:tmpl w:val="9CA85B5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>
    <w:nsid w:val="3AB56BAC"/>
    <w:multiLevelType w:val="hybridMultilevel"/>
    <w:tmpl w:val="CC1ABCA4"/>
    <w:lvl w:ilvl="0" w:tplc="5B7E85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2802B12">
      <w:start w:val="1"/>
      <w:numFmt w:val="lowerLetter"/>
      <w:lvlText w:val="%2."/>
      <w:lvlJc w:val="left"/>
      <w:pPr>
        <w:ind w:left="1440" w:hanging="360"/>
      </w:pPr>
    </w:lvl>
    <w:lvl w:ilvl="2" w:tplc="B46061CE">
      <w:start w:val="1"/>
      <w:numFmt w:val="lowerRoman"/>
      <w:lvlText w:val="%3."/>
      <w:lvlJc w:val="right"/>
      <w:pPr>
        <w:ind w:left="2160" w:hanging="180"/>
      </w:pPr>
    </w:lvl>
    <w:lvl w:ilvl="3" w:tplc="855EFDEE">
      <w:start w:val="1"/>
      <w:numFmt w:val="decimal"/>
      <w:lvlText w:val="%4."/>
      <w:lvlJc w:val="left"/>
      <w:pPr>
        <w:ind w:left="2880" w:hanging="360"/>
      </w:pPr>
    </w:lvl>
    <w:lvl w:ilvl="4" w:tplc="300A41C6">
      <w:start w:val="1"/>
      <w:numFmt w:val="lowerLetter"/>
      <w:lvlText w:val="%5."/>
      <w:lvlJc w:val="left"/>
      <w:pPr>
        <w:ind w:left="3600" w:hanging="360"/>
      </w:pPr>
    </w:lvl>
    <w:lvl w:ilvl="5" w:tplc="C9F0985C">
      <w:start w:val="1"/>
      <w:numFmt w:val="lowerRoman"/>
      <w:lvlText w:val="%6."/>
      <w:lvlJc w:val="right"/>
      <w:pPr>
        <w:ind w:left="4320" w:hanging="180"/>
      </w:pPr>
    </w:lvl>
    <w:lvl w:ilvl="6" w:tplc="8BCCADDE">
      <w:start w:val="1"/>
      <w:numFmt w:val="decimal"/>
      <w:lvlText w:val="%7."/>
      <w:lvlJc w:val="left"/>
      <w:pPr>
        <w:ind w:left="5040" w:hanging="360"/>
      </w:pPr>
    </w:lvl>
    <w:lvl w:ilvl="7" w:tplc="BC9E89AA">
      <w:start w:val="1"/>
      <w:numFmt w:val="lowerLetter"/>
      <w:lvlText w:val="%8."/>
      <w:lvlJc w:val="left"/>
      <w:pPr>
        <w:ind w:left="5760" w:hanging="360"/>
      </w:pPr>
    </w:lvl>
    <w:lvl w:ilvl="8" w:tplc="A898510A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66477"/>
    <w:multiLevelType w:val="hybridMultilevel"/>
    <w:tmpl w:val="D6307426"/>
    <w:lvl w:ilvl="0" w:tplc="30BAD7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5BEE4606">
      <w:start w:val="1"/>
      <w:numFmt w:val="lowerLetter"/>
      <w:lvlText w:val="%2."/>
      <w:lvlJc w:val="left"/>
      <w:pPr>
        <w:ind w:left="1647" w:hanging="360"/>
      </w:pPr>
    </w:lvl>
    <w:lvl w:ilvl="2" w:tplc="D0AAAE46">
      <w:start w:val="1"/>
      <w:numFmt w:val="lowerRoman"/>
      <w:lvlText w:val="%3."/>
      <w:lvlJc w:val="right"/>
      <w:pPr>
        <w:ind w:left="2367" w:hanging="180"/>
      </w:pPr>
    </w:lvl>
    <w:lvl w:ilvl="3" w:tplc="4A5C16AC">
      <w:start w:val="1"/>
      <w:numFmt w:val="decimal"/>
      <w:lvlText w:val="%4."/>
      <w:lvlJc w:val="left"/>
      <w:pPr>
        <w:ind w:left="3087" w:hanging="360"/>
      </w:pPr>
    </w:lvl>
    <w:lvl w:ilvl="4" w:tplc="38709244">
      <w:start w:val="1"/>
      <w:numFmt w:val="lowerLetter"/>
      <w:lvlText w:val="%5."/>
      <w:lvlJc w:val="left"/>
      <w:pPr>
        <w:ind w:left="3807" w:hanging="360"/>
      </w:pPr>
    </w:lvl>
    <w:lvl w:ilvl="5" w:tplc="A61E35B8">
      <w:start w:val="1"/>
      <w:numFmt w:val="lowerRoman"/>
      <w:lvlText w:val="%6."/>
      <w:lvlJc w:val="right"/>
      <w:pPr>
        <w:ind w:left="4527" w:hanging="180"/>
      </w:pPr>
    </w:lvl>
    <w:lvl w:ilvl="6" w:tplc="628AA164">
      <w:start w:val="1"/>
      <w:numFmt w:val="decimal"/>
      <w:lvlText w:val="%7."/>
      <w:lvlJc w:val="left"/>
      <w:pPr>
        <w:ind w:left="5247" w:hanging="360"/>
      </w:pPr>
    </w:lvl>
    <w:lvl w:ilvl="7" w:tplc="E210156A">
      <w:start w:val="1"/>
      <w:numFmt w:val="lowerLetter"/>
      <w:lvlText w:val="%8."/>
      <w:lvlJc w:val="left"/>
      <w:pPr>
        <w:ind w:left="5967" w:hanging="360"/>
      </w:pPr>
    </w:lvl>
    <w:lvl w:ilvl="8" w:tplc="EC88BEF8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F836CB1"/>
    <w:multiLevelType w:val="hybridMultilevel"/>
    <w:tmpl w:val="2F40F09E"/>
    <w:lvl w:ilvl="0" w:tplc="67D015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629B50">
      <w:start w:val="1"/>
      <w:numFmt w:val="lowerLetter"/>
      <w:lvlText w:val="%2."/>
      <w:lvlJc w:val="left"/>
      <w:pPr>
        <w:ind w:left="1440" w:hanging="360"/>
      </w:pPr>
    </w:lvl>
    <w:lvl w:ilvl="2" w:tplc="B31E2B44">
      <w:start w:val="1"/>
      <w:numFmt w:val="lowerRoman"/>
      <w:lvlText w:val="%3."/>
      <w:lvlJc w:val="right"/>
      <w:pPr>
        <w:ind w:left="2160" w:hanging="180"/>
      </w:pPr>
    </w:lvl>
    <w:lvl w:ilvl="3" w:tplc="411EA0E0">
      <w:start w:val="1"/>
      <w:numFmt w:val="decimal"/>
      <w:lvlText w:val="%4."/>
      <w:lvlJc w:val="left"/>
      <w:pPr>
        <w:ind w:left="2880" w:hanging="360"/>
      </w:pPr>
    </w:lvl>
    <w:lvl w:ilvl="4" w:tplc="60D6901A">
      <w:start w:val="1"/>
      <w:numFmt w:val="lowerLetter"/>
      <w:lvlText w:val="%5."/>
      <w:lvlJc w:val="left"/>
      <w:pPr>
        <w:ind w:left="3600" w:hanging="360"/>
      </w:pPr>
    </w:lvl>
    <w:lvl w:ilvl="5" w:tplc="B1105D40">
      <w:start w:val="1"/>
      <w:numFmt w:val="lowerRoman"/>
      <w:lvlText w:val="%6."/>
      <w:lvlJc w:val="right"/>
      <w:pPr>
        <w:ind w:left="4320" w:hanging="180"/>
      </w:pPr>
    </w:lvl>
    <w:lvl w:ilvl="6" w:tplc="E9ECB0A2">
      <w:start w:val="1"/>
      <w:numFmt w:val="decimal"/>
      <w:lvlText w:val="%7."/>
      <w:lvlJc w:val="left"/>
      <w:pPr>
        <w:ind w:left="5040" w:hanging="360"/>
      </w:pPr>
    </w:lvl>
    <w:lvl w:ilvl="7" w:tplc="A258A984">
      <w:start w:val="1"/>
      <w:numFmt w:val="lowerLetter"/>
      <w:lvlText w:val="%8."/>
      <w:lvlJc w:val="left"/>
      <w:pPr>
        <w:ind w:left="5760" w:hanging="360"/>
      </w:pPr>
    </w:lvl>
    <w:lvl w:ilvl="8" w:tplc="C5EA5EC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AD2358"/>
    <w:multiLevelType w:val="hybridMultilevel"/>
    <w:tmpl w:val="23C6E5C8"/>
    <w:lvl w:ilvl="0" w:tplc="B776C68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9B2EA404">
      <w:start w:val="1"/>
      <w:numFmt w:val="lowerLetter"/>
      <w:lvlText w:val="%2."/>
      <w:lvlJc w:val="left"/>
      <w:pPr>
        <w:ind w:left="2148" w:hanging="360"/>
      </w:pPr>
    </w:lvl>
    <w:lvl w:ilvl="2" w:tplc="D7F6A79A">
      <w:start w:val="1"/>
      <w:numFmt w:val="lowerRoman"/>
      <w:lvlText w:val="%3."/>
      <w:lvlJc w:val="right"/>
      <w:pPr>
        <w:ind w:left="2868" w:hanging="180"/>
      </w:pPr>
    </w:lvl>
    <w:lvl w:ilvl="3" w:tplc="62F48D7E">
      <w:start w:val="1"/>
      <w:numFmt w:val="decimal"/>
      <w:lvlText w:val="%4."/>
      <w:lvlJc w:val="left"/>
      <w:pPr>
        <w:ind w:left="3588" w:hanging="360"/>
      </w:pPr>
    </w:lvl>
    <w:lvl w:ilvl="4" w:tplc="8E8E54D4">
      <w:start w:val="1"/>
      <w:numFmt w:val="lowerLetter"/>
      <w:lvlText w:val="%5."/>
      <w:lvlJc w:val="left"/>
      <w:pPr>
        <w:ind w:left="4308" w:hanging="360"/>
      </w:pPr>
    </w:lvl>
    <w:lvl w:ilvl="5" w:tplc="B2167838">
      <w:start w:val="1"/>
      <w:numFmt w:val="lowerRoman"/>
      <w:lvlText w:val="%6."/>
      <w:lvlJc w:val="right"/>
      <w:pPr>
        <w:ind w:left="5028" w:hanging="180"/>
      </w:pPr>
    </w:lvl>
    <w:lvl w:ilvl="6" w:tplc="595482A4">
      <w:start w:val="1"/>
      <w:numFmt w:val="decimal"/>
      <w:lvlText w:val="%7."/>
      <w:lvlJc w:val="left"/>
      <w:pPr>
        <w:ind w:left="5748" w:hanging="360"/>
      </w:pPr>
    </w:lvl>
    <w:lvl w:ilvl="7" w:tplc="48D8D348">
      <w:start w:val="1"/>
      <w:numFmt w:val="lowerLetter"/>
      <w:lvlText w:val="%8."/>
      <w:lvlJc w:val="left"/>
      <w:pPr>
        <w:ind w:left="6468" w:hanging="360"/>
      </w:pPr>
    </w:lvl>
    <w:lvl w:ilvl="8" w:tplc="10004C28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7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8D6"/>
    <w:rsid w:val="001048D6"/>
    <w:rsid w:val="004E4A9C"/>
    <w:rsid w:val="00962BA8"/>
    <w:rsid w:val="00B3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95906CE7-BABA-4F8A-A5F5-DDDE22FEF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paragraph" w:customStyle="1" w:styleId="ASFKNormal">
    <w:name w:val="_ASFK_Normal"/>
    <w:link w:val="ASFKNormal0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Normal0">
    <w:name w:val="_ASFK_Normal Знак"/>
    <w:link w:val="ASFKNormal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3">
    <w:name w:val="TOC Heading"/>
    <w:basedOn w:val="1"/>
    <w:next w:val="a"/>
    <w:uiPriority w:val="39"/>
    <w:unhideWhenUsed/>
    <w:qFormat/>
    <w:pPr>
      <w:outlineLvl w:val="9"/>
    </w:pPr>
    <w:rPr>
      <w:lang w:eastAsia="ru-RU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character" w:styleId="af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table" w:styleId="afb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0.png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image" Target="media/image60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40.png"/><Relationship Id="rId2" Type="http://schemas.openxmlformats.org/officeDocument/2006/relationships/numbering" Target="numbering.xm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23" Type="http://schemas.openxmlformats.org/officeDocument/2006/relationships/fontTable" Target="fontTable.xml"/><Relationship Id="rId19" Type="http://schemas.openxmlformats.org/officeDocument/2006/relationships/image" Target="media/image50.png"/><Relationship Id="rId4" Type="http://schemas.openxmlformats.org/officeDocument/2006/relationships/settings" Target="settings.xml"/><Relationship Id="rId14" Type="http://schemas.openxmlformats.org/officeDocument/2006/relationships/image" Target="media/image3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605D1-8634-4C28-A828-245812B0D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5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Даниленко Анастасия</dc:creator>
  <cp:lastModifiedBy>Адылев Алишер Алипкалиевич</cp:lastModifiedBy>
  <cp:revision>3</cp:revision>
  <dcterms:created xsi:type="dcterms:W3CDTF">2025-01-20T12:59:00Z</dcterms:created>
  <dcterms:modified xsi:type="dcterms:W3CDTF">2025-01-23T11:21:00Z</dcterms:modified>
</cp:coreProperties>
</file>