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C33" w:rsidRDefault="00F1732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Временный порядок действий в подсистеме ведения нормативной справочной информации государственной информационной системы управления общественными финансами «Электронный бюджет» для финансовых органов, находящихся в процессе реорганизации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231C33" w:rsidRDefault="00231C33">
      <w:pPr>
        <w:pStyle w:val="ASFKNormal"/>
        <w:spacing w:before="0" w:after="0" w:line="360" w:lineRule="auto"/>
        <w:ind w:firstLine="0"/>
        <w:rPr>
          <w:sz w:val="28"/>
          <w:szCs w:val="28"/>
        </w:rPr>
      </w:pPr>
    </w:p>
    <w:p w:rsidR="00231C33" w:rsidRDefault="00F17322">
      <w:pPr>
        <w:pStyle w:val="ASFKNormal"/>
        <w:spacing w:before="0" w:after="0"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Термины и сокращения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3301"/>
        <w:gridCol w:w="6610"/>
      </w:tblGrid>
      <w:tr w:rsidR="00231C33">
        <w:tc>
          <w:tcPr>
            <w:tcW w:w="3369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 и сокращения</w:t>
            </w:r>
          </w:p>
        </w:tc>
        <w:tc>
          <w:tcPr>
            <w:tcW w:w="6768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</w:t>
            </w:r>
          </w:p>
        </w:tc>
      </w:tr>
      <w:tr w:rsidR="00231C33">
        <w:tc>
          <w:tcPr>
            <w:tcW w:w="3369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НСИ ЭБ</w:t>
            </w:r>
          </w:p>
        </w:tc>
        <w:tc>
          <w:tcPr>
            <w:tcW w:w="6768" w:type="dxa"/>
          </w:tcPr>
          <w:p w:rsidR="00231C33" w:rsidRDefault="00F17322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Подсистема ведения нормативной справочной информации государственной информационной системы управления общественными финансами «Электронный бюджет»</w:t>
            </w:r>
          </w:p>
        </w:tc>
      </w:tr>
      <w:tr w:rsidR="00231C33">
        <w:tc>
          <w:tcPr>
            <w:tcW w:w="3369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Заявка</w:t>
            </w:r>
          </w:p>
        </w:tc>
        <w:tc>
          <w:tcPr>
            <w:tcW w:w="6768" w:type="dxa"/>
          </w:tcPr>
          <w:p w:rsidR="00231C33" w:rsidRDefault="00F17322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формуляр «Заявка на включение (изменение) информации об организации в Сводный реестр»</w:t>
            </w:r>
          </w:p>
        </w:tc>
      </w:tr>
      <w:tr w:rsidR="00231C33">
        <w:tc>
          <w:tcPr>
            <w:tcW w:w="3369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</w:t>
            </w:r>
          </w:p>
        </w:tc>
        <w:tc>
          <w:tcPr>
            <w:tcW w:w="6768" w:type="dxa"/>
          </w:tcPr>
          <w:p w:rsidR="00231C33" w:rsidRDefault="00F17322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формуляр «Решение по изменению Сводного реестра»</w:t>
            </w:r>
          </w:p>
        </w:tc>
      </w:tr>
      <w:tr w:rsidR="00231C33">
        <w:tc>
          <w:tcPr>
            <w:tcW w:w="3369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ЕГРЮЛ</w:t>
            </w:r>
          </w:p>
        </w:tc>
        <w:tc>
          <w:tcPr>
            <w:tcW w:w="6768" w:type="dxa"/>
          </w:tcPr>
          <w:p w:rsidR="00231C33" w:rsidRDefault="00F17322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государственный реестр юридических лиц</w:t>
            </w:r>
          </w:p>
        </w:tc>
      </w:tr>
      <w:tr w:rsidR="00231C33">
        <w:tc>
          <w:tcPr>
            <w:tcW w:w="3369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</w:t>
            </w:r>
          </w:p>
        </w:tc>
        <w:tc>
          <w:tcPr>
            <w:tcW w:w="6768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</w:tr>
      <w:tr w:rsidR="00231C33">
        <w:tc>
          <w:tcPr>
            <w:tcW w:w="3369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</w:tc>
        <w:tc>
          <w:tcPr>
            <w:tcW w:w="6768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</w:tr>
      <w:tr w:rsidR="00231C33">
        <w:tc>
          <w:tcPr>
            <w:tcW w:w="3369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КПП</w:t>
            </w:r>
          </w:p>
        </w:tc>
        <w:tc>
          <w:tcPr>
            <w:tcW w:w="6768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причины постановки на учет юридического лица</w:t>
            </w:r>
          </w:p>
        </w:tc>
      </w:tr>
      <w:tr w:rsidR="00231C33">
        <w:tc>
          <w:tcPr>
            <w:tcW w:w="3369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Сводный реестр</w:t>
            </w:r>
          </w:p>
        </w:tc>
        <w:tc>
          <w:tcPr>
            <w:tcW w:w="6768" w:type="dxa"/>
          </w:tcPr>
          <w:p w:rsidR="00231C33" w:rsidRDefault="00F17322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Реестр участников бюджетного процесса, а также юридических лиц, не являющихся участникам бюджетного процесса</w:t>
            </w:r>
          </w:p>
        </w:tc>
      </w:tr>
      <w:tr w:rsidR="00231C33">
        <w:tc>
          <w:tcPr>
            <w:tcW w:w="3369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</w:t>
            </w:r>
          </w:p>
        </w:tc>
        <w:tc>
          <w:tcPr>
            <w:tcW w:w="6768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Финансовый орган субъекта Российской Федерации</w:t>
            </w:r>
          </w:p>
        </w:tc>
      </w:tr>
      <w:tr w:rsidR="00231C33">
        <w:tc>
          <w:tcPr>
            <w:tcW w:w="3369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ФК</w:t>
            </w:r>
          </w:p>
        </w:tc>
        <w:tc>
          <w:tcPr>
            <w:tcW w:w="6768" w:type="dxa"/>
          </w:tcPr>
          <w:p w:rsidR="00231C33" w:rsidRDefault="00F17322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Межрегиональное операционное управление Федерального казначейства</w:t>
            </w:r>
          </w:p>
        </w:tc>
      </w:tr>
      <w:tr w:rsidR="00231C33">
        <w:tc>
          <w:tcPr>
            <w:tcW w:w="3369" w:type="dxa"/>
          </w:tcPr>
          <w:p w:rsidR="00231C33" w:rsidRDefault="00F17322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ПОИБ СОБИ ФК</w:t>
            </w:r>
          </w:p>
        </w:tc>
        <w:tc>
          <w:tcPr>
            <w:tcW w:w="6768" w:type="dxa"/>
          </w:tcPr>
          <w:p w:rsidR="00231C33" w:rsidRDefault="00F17322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Подсистема обеспечения информационной безопасности Системы обеспечения безопасности информации</w:t>
            </w:r>
          </w:p>
        </w:tc>
      </w:tr>
    </w:tbl>
    <w:p w:rsidR="00231C33" w:rsidRDefault="00231C33">
      <w:pPr>
        <w:pStyle w:val="ASFKNormal"/>
        <w:spacing w:before="0" w:after="0" w:line="360" w:lineRule="auto"/>
        <w:ind w:firstLine="0"/>
        <w:rPr>
          <w:sz w:val="28"/>
          <w:szCs w:val="28"/>
        </w:rPr>
      </w:pPr>
    </w:p>
    <w:p w:rsidR="00231C33" w:rsidRDefault="00F17322">
      <w:pPr>
        <w:pStyle w:val="ASFKNormal"/>
        <w:spacing w:before="0" w:after="0"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Для резервирования уникального кода по Сводному реестру ФО и последующего включения ФО в Сводный реестр необходимо обеспечить выполнение следующих действий в НСИ ЭБ.</w:t>
      </w:r>
    </w:p>
    <w:p w:rsidR="00231C33" w:rsidRDefault="00231C33">
      <w:pPr>
        <w:pStyle w:val="ASFKNormal"/>
        <w:spacing w:before="0" w:after="0" w:line="360" w:lineRule="auto"/>
        <w:ind w:firstLine="0"/>
        <w:rPr>
          <w:sz w:val="28"/>
          <w:szCs w:val="28"/>
        </w:rPr>
      </w:pPr>
    </w:p>
    <w:p w:rsidR="00231C33" w:rsidRDefault="00231C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C33" w:rsidRDefault="00F17322">
      <w:pPr>
        <w:pStyle w:val="1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Перевод всех подведомственных организаций в статус 4 </w:t>
      </w:r>
    </w:p>
    <w:p w:rsidR="00231C33" w:rsidRDefault="00F17322">
      <w:pPr>
        <w:pStyle w:val="af2"/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 создает Заявку с типом «Изменение». </w:t>
      </w:r>
    </w:p>
    <w:p w:rsidR="00231C33" w:rsidRDefault="00F17322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в Сводном реестре нужно выбрать организацию и нажать кнопку «Создать заявку на изменение». </w:t>
      </w:r>
    </w:p>
    <w:p w:rsidR="00231C33" w:rsidRDefault="00F17322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ФО заходит в Заявку на редактирование, заполняет блок со спец. мероприятиями (указывает причину «Изменение уровня бюджета»), лист согласования и утверждает Заявку в штатном порядке.</w:t>
      </w:r>
    </w:p>
    <w:p w:rsidR="00231C33" w:rsidRDefault="00F17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ТОФК утверждает Решение в штатном порядке.</w:t>
      </w:r>
    </w:p>
    <w:p w:rsidR="00231C33" w:rsidRDefault="00231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231C33" w:rsidRDefault="00F17322">
      <w:pPr>
        <w:pStyle w:val="1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Аналогичный перевод реестровой записи ФО в статус 4.</w:t>
      </w:r>
    </w:p>
    <w:p w:rsidR="00231C33" w:rsidRDefault="00F17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Повторить п.1.1-п.1.3</w:t>
      </w:r>
    </w:p>
    <w:p w:rsidR="00231C33" w:rsidRDefault="00F17322">
      <w:pPr>
        <w:pStyle w:val="1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Включение в Сводный реестр нового финансового органа.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C33" w:rsidRDefault="00F17322">
      <w:pPr>
        <w:pStyle w:val="af2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 создает Заявку с типом «Включение».</w:t>
      </w:r>
    </w:p>
    <w:p w:rsidR="00231C33" w:rsidRDefault="00F17322">
      <w:pPr>
        <w:pStyle w:val="af2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этого в разделе «Реестр заявок на изменение Сводного реестра» нажимаем на кнопку «Создать заявку на включение» с выбором пункта «</w:t>
      </w:r>
      <w:r>
        <w:rPr>
          <w:rFonts w:ascii="Times New Roman" w:hAnsi="Times New Roman" w:cs="Times New Roman"/>
          <w:color w:val="494949"/>
          <w:sz w:val="28"/>
          <w:szCs w:val="28"/>
          <w:shd w:val="clear" w:color="auto" w:fill="FFFFFF"/>
        </w:rPr>
        <w:t>ОГВ - организация, являющаяся органом государственной власти, государственным органом, органом местного самоуправления, органом управления государственным внебюджетным фондом, Центрального банка Российской Федерации»</w:t>
      </w:r>
      <w:r>
        <w:rPr>
          <w:rFonts w:ascii="Times New Roman" w:hAnsi="Times New Roman" w:cs="Times New Roman"/>
          <w:sz w:val="28"/>
          <w:szCs w:val="28"/>
        </w:rPr>
        <w:t>. Заполнить необходимыми данными и лист согласования</w:t>
      </w:r>
    </w:p>
    <w:p w:rsidR="00231C33" w:rsidRDefault="00F17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Сохранить Заявку в статусе «Черновик». </w:t>
      </w:r>
    </w:p>
    <w:p w:rsidR="00231C33" w:rsidRDefault="00F17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стандартном режиме утвердить Заявку и Решение. В результате утверждения в Сводном реестре будет создана запись по-новому ФО.</w:t>
      </w:r>
    </w:p>
    <w:p w:rsidR="00231C33" w:rsidRDefault="00F17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После включения в Сводный реестр нового ФО, ТОФК обеспечивает внесение изменений в справочник «Перечень уполномоченных организаций», путем направления обращения в ПУПЭ на МОУ ФК с приложением файла «Шаблон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Тех.таблицы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231C33" w:rsidRDefault="00F724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875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231C33" w:rsidRDefault="00F17322">
      <w:pPr>
        <w:pStyle w:val="1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Регистрация ФО в ПОИБ СОБИ 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1C33" w:rsidRDefault="00F17322">
      <w:pPr>
        <w:pStyle w:val="af2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После включения в Сводный реестр нового ФО информация о ФО из Сводного реестра автоматически распространяется в ПОИБ СОБИ ФК.</w:t>
      </w:r>
    </w:p>
    <w:p w:rsidR="00231C33" w:rsidRDefault="00F17322">
      <w:pPr>
        <w:pStyle w:val="af2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ФО осуществляет назначение сотрудникам ролей в ПОИБ СОБИ ФК для работы в НСИ ЭБ: РУБПНУБП.001 Ввод данных, РУБПНУБП.002 Согласование УО, РУБПНУБП.003 Утверждение УО.</w:t>
      </w:r>
    </w:p>
    <w:p w:rsidR="00231C33" w:rsidRDefault="00F17322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Указания нового финансового органа, как Уполномоченная организация в реестровой записи нового ФО.</w:t>
      </w:r>
    </w:p>
    <w:p w:rsidR="00231C33" w:rsidRDefault="00F17322">
      <w:pPr>
        <w:spacing w:after="0"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ФО создает Заявку с типом «Изменение». </w:t>
      </w:r>
    </w:p>
    <w:p w:rsidR="00231C33" w:rsidRDefault="00F17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в Сводном реестре нужно выбрать организацию и нажать кнопку «Создать заявку на изменение».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6296025" cy="2933700"/>
                <wp:effectExtent l="0" t="0" r="9525" b="0"/>
                <wp:docPr id="2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296024" cy="2933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5.75pt;height:231.0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</w:p>
    <w:p w:rsidR="00231C33" w:rsidRDefault="00F17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в разделе «Реестр заявок на изменение Сводного реестра» найти созданную заявку и открыть ее на редактирование. </w:t>
      </w:r>
    </w:p>
    <w:p w:rsidR="00231C33" w:rsidRDefault="00F173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296025" cy="2266950"/>
                <wp:effectExtent l="0" t="0" r="9525" b="0"/>
                <wp:docPr id="3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296024" cy="226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5.75pt;height:178.5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</w:p>
    <w:p w:rsidR="00231C33" w:rsidRDefault="00F17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В разделе «Сведения о юридическом лице, предоставляющем информацию об организации для включения в Сводный реестр в соответствии с Порядком» необходимо изменить УО со старого ФО на новый ФО выбором из Сводного реестра, сохранить Заявку, чтобы статус изменился на «Черновик» и закрыть ее.</w:t>
      </w:r>
    </w:p>
    <w:p w:rsidR="00231C33" w:rsidRDefault="00F173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6286500" cy="2400300"/>
                <wp:effectExtent l="0" t="0" r="0" b="0"/>
                <wp:docPr id="4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2865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5.00pt;height:189.0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</w:p>
    <w:p w:rsidR="00231C33" w:rsidRDefault="00F17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ФО повторно заходит в Заявку на редактирование, заполняет лист согласования и утверждает Заявку в штатном порядке.</w:t>
      </w:r>
    </w:p>
    <w:p w:rsidR="00231C33" w:rsidRDefault="00F17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ТОФК утверждает Решение в штатном порядке.</w:t>
      </w:r>
    </w:p>
    <w:p w:rsidR="00231C33" w:rsidRDefault="00F17322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Включение в Сводный реестр подведомственных организаций нового финансового органа</w:t>
      </w:r>
    </w:p>
    <w:p w:rsidR="00231C33" w:rsidRDefault="00F17322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 По аналогии с п.3.1-п.3.3</w:t>
      </w:r>
    </w:p>
    <w:p w:rsidR="00231C33" w:rsidRDefault="00F17322">
      <w:pPr>
        <w:spacing w:after="0" w:line="36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Закрытие казначейских и лицевых счетов.</w:t>
      </w:r>
    </w:p>
    <w:p w:rsidR="00231C33" w:rsidRDefault="00F17322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7.1 Закрытие казначейских и лицевых счетов осуществляется сотрудниками УФК на основании предоставленного заявления от ФО на бумажном носителе.</w:t>
      </w:r>
    </w:p>
    <w:p w:rsidR="00231C33" w:rsidRDefault="00F17322">
      <w:pPr>
        <w:spacing w:after="0" w:line="36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Перевод в архив всех организаций, включая ФО.</w:t>
      </w:r>
    </w:p>
    <w:p w:rsidR="00231C33" w:rsidRDefault="00F17322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 Новому ФО необходимо у старого ФО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его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подведомственной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сетью изменить Уполномоченную организацию на новое ФО по аналогии с п.5.1- п.5.4.</w:t>
      </w:r>
    </w:p>
    <w:p w:rsidR="00231C33" w:rsidRDefault="00F17322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После изменения УО новым ФО создаются заявки на перевод в архив через заявку на изменение Сводного реестра (1 - Заявку необходимо использовать для перевода в архив реестровой записи по организации, находящейся в процессе реорганизации, смены типа учреждения, уровня бюджета, изменения подведомственности в соответствии с рекомендациям, доведенными ФК) всей подведомственной сети старого ФО включая старый ФО.</w:t>
      </w:r>
    </w:p>
    <w:p w:rsidR="00231C33" w:rsidRDefault="00F173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251657728" behindDoc="0" locked="0" layoutInCell="1" allowOverlap="1">
                <wp:simplePos x="0" y="0"/>
                <wp:positionH relativeFrom="column">
                  <wp:posOffset>5100171</wp:posOffset>
                </wp:positionH>
                <wp:positionV relativeFrom="paragraph">
                  <wp:posOffset>720154</wp:posOffset>
                </wp:positionV>
                <wp:extent cx="550333" cy="0"/>
                <wp:effectExtent l="3175" t="3175" r="3175" b="3175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50333" cy="0"/>
                        </a:xfrm>
                        <a:prstGeom prst="line">
                          <a:avLst/>
                        </a:prstGeom>
                        <a:ln w="12699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4" o:spid="_x0000_s4" style="position:absolute;left:0;text-align:left;z-index:502801920;mso-wrap-distance-left:9.07pt;mso-wrap-distance-top:0.00pt;mso-wrap-distance-right:9.07pt;mso-wrap-distance-bottom:0.00pt;flip:y;visibility:visible;" from="401.6pt,56.7pt" to="444.9pt,56.7pt" filled="f" strokecolor="#FF0000" strokeweight="1.00pt">
                <v:stroke dashstyle="soli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251656704" behindDoc="0" locked="0" layoutInCell="1" allowOverlap="1">
                <wp:simplePos x="0" y="0"/>
                <wp:positionH relativeFrom="column">
                  <wp:posOffset>953661</wp:posOffset>
                </wp:positionH>
                <wp:positionV relativeFrom="paragraph">
                  <wp:posOffset>347451</wp:posOffset>
                </wp:positionV>
                <wp:extent cx="125015" cy="119062"/>
                <wp:effectExtent l="6350" t="6350" r="6350" b="6350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5015" cy="119062"/>
                        </a:xfrm>
                        <a:prstGeom prst="rect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19049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5" o:spid="_x0000_s5" o:spt="1" type="#_x0000_t1" style="position:absolute;z-index:502799872;o:allowoverlap:true;o:allowincell:true;mso-position-horizontal-relative:text;margin-left:75.09pt;mso-position-horizontal:absolute;mso-position-vertical-relative:text;margin-top:27.36pt;mso-position-vertical:absolute;width:9.84pt;height:9.37pt;mso-wrap-distance-left:9.07pt;mso-wrap-distance-top:0.00pt;mso-wrap-distance-right:9.07pt;mso-wrap-distance-bottom:0.00pt;visibility:visible;" fillcolor="#FF0000" strokecolor="#FF0000" strokeweight="1.50pt">
                <v:fill opacity="100f"/>
                <v:stroke dashstyle="solid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6299835" cy="2401724"/>
                <wp:effectExtent l="0" t="0" r="0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333397" name="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299834" cy="24017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96.05pt;height:189.11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</w:p>
    <w:p w:rsidR="00231C33" w:rsidRDefault="00231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231C33" w:rsidRDefault="00F17322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 ФО заходит в Заявку на редактирование, заполняет лист согласования и утверждает Заявку в штатном порядке.</w:t>
      </w:r>
    </w:p>
    <w:p w:rsidR="00231C33" w:rsidRDefault="00F17322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 ТОФК утверждает Решение в штатном порядке.</w:t>
      </w:r>
    </w:p>
    <w:sectPr w:rsidR="00231C33" w:rsidSect="00F724D1">
      <w:headerReference w:type="default" r:id="rId1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C33" w:rsidRDefault="00F17322">
      <w:pPr>
        <w:spacing w:after="0" w:line="240" w:lineRule="auto"/>
      </w:pPr>
      <w:r>
        <w:separator/>
      </w:r>
    </w:p>
  </w:endnote>
  <w:endnote w:type="continuationSeparator" w:id="0">
    <w:p w:rsidR="00231C33" w:rsidRDefault="00F17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C33" w:rsidRDefault="00F17322">
      <w:pPr>
        <w:spacing w:after="0" w:line="240" w:lineRule="auto"/>
      </w:pPr>
      <w:r>
        <w:separator/>
      </w:r>
    </w:p>
  </w:footnote>
  <w:footnote w:type="continuationSeparator" w:id="0">
    <w:p w:rsidR="00231C33" w:rsidRDefault="00F17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332068"/>
      <w:docPartObj>
        <w:docPartGallery w:val="Page Numbers (Top of Page)"/>
        <w:docPartUnique/>
      </w:docPartObj>
    </w:sdtPr>
    <w:sdtContent>
      <w:p w:rsidR="00F724D1" w:rsidRDefault="00F724D1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231C33" w:rsidRDefault="00231C33">
    <w:pPr>
      <w:pStyle w:val="af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27A93"/>
    <w:multiLevelType w:val="multilevel"/>
    <w:tmpl w:val="0BAE971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8BB2DA9"/>
    <w:multiLevelType w:val="hybridMultilevel"/>
    <w:tmpl w:val="F06E6C0A"/>
    <w:lvl w:ilvl="0" w:tplc="31980D5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B14F406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D2430E8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9BFA3D3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E8DCE24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7B8292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F26760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D16F97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EC58AAC0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6C7686B"/>
    <w:multiLevelType w:val="hybridMultilevel"/>
    <w:tmpl w:val="3F30A2FE"/>
    <w:lvl w:ilvl="0" w:tplc="8C4E29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18033A">
      <w:start w:val="1"/>
      <w:numFmt w:val="lowerLetter"/>
      <w:lvlText w:val="%2."/>
      <w:lvlJc w:val="left"/>
      <w:pPr>
        <w:ind w:left="1440" w:hanging="360"/>
      </w:pPr>
    </w:lvl>
    <w:lvl w:ilvl="2" w:tplc="3C6080E0">
      <w:start w:val="1"/>
      <w:numFmt w:val="lowerRoman"/>
      <w:lvlText w:val="%3."/>
      <w:lvlJc w:val="right"/>
      <w:pPr>
        <w:ind w:left="2160" w:hanging="180"/>
      </w:pPr>
    </w:lvl>
    <w:lvl w:ilvl="3" w:tplc="9CAAC26E">
      <w:start w:val="1"/>
      <w:numFmt w:val="decimal"/>
      <w:lvlText w:val="%4."/>
      <w:lvlJc w:val="left"/>
      <w:pPr>
        <w:ind w:left="2880" w:hanging="360"/>
      </w:pPr>
    </w:lvl>
    <w:lvl w:ilvl="4" w:tplc="A7F639D6">
      <w:start w:val="1"/>
      <w:numFmt w:val="lowerLetter"/>
      <w:lvlText w:val="%5."/>
      <w:lvlJc w:val="left"/>
      <w:pPr>
        <w:ind w:left="3600" w:hanging="360"/>
      </w:pPr>
    </w:lvl>
    <w:lvl w:ilvl="5" w:tplc="3884B25E">
      <w:start w:val="1"/>
      <w:numFmt w:val="lowerRoman"/>
      <w:lvlText w:val="%6."/>
      <w:lvlJc w:val="right"/>
      <w:pPr>
        <w:ind w:left="4320" w:hanging="180"/>
      </w:pPr>
    </w:lvl>
    <w:lvl w:ilvl="6" w:tplc="739828A0">
      <w:start w:val="1"/>
      <w:numFmt w:val="decimal"/>
      <w:lvlText w:val="%7."/>
      <w:lvlJc w:val="left"/>
      <w:pPr>
        <w:ind w:left="5040" w:hanging="360"/>
      </w:pPr>
    </w:lvl>
    <w:lvl w:ilvl="7" w:tplc="DDA0E038">
      <w:start w:val="1"/>
      <w:numFmt w:val="lowerLetter"/>
      <w:lvlText w:val="%8."/>
      <w:lvlJc w:val="left"/>
      <w:pPr>
        <w:ind w:left="5760" w:hanging="360"/>
      </w:pPr>
    </w:lvl>
    <w:lvl w:ilvl="8" w:tplc="7D582EB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B4839"/>
    <w:multiLevelType w:val="hybridMultilevel"/>
    <w:tmpl w:val="E326B722"/>
    <w:lvl w:ilvl="0" w:tplc="1E0032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64C4C0">
      <w:start w:val="1"/>
      <w:numFmt w:val="lowerLetter"/>
      <w:lvlText w:val="%2."/>
      <w:lvlJc w:val="left"/>
      <w:pPr>
        <w:ind w:left="1440" w:hanging="360"/>
      </w:pPr>
    </w:lvl>
    <w:lvl w:ilvl="2" w:tplc="86B4158E">
      <w:start w:val="1"/>
      <w:numFmt w:val="lowerRoman"/>
      <w:lvlText w:val="%3."/>
      <w:lvlJc w:val="right"/>
      <w:pPr>
        <w:ind w:left="2160" w:hanging="180"/>
      </w:pPr>
    </w:lvl>
    <w:lvl w:ilvl="3" w:tplc="421C97DC">
      <w:start w:val="1"/>
      <w:numFmt w:val="decimal"/>
      <w:lvlText w:val="%4."/>
      <w:lvlJc w:val="left"/>
      <w:pPr>
        <w:ind w:left="2880" w:hanging="360"/>
      </w:pPr>
    </w:lvl>
    <w:lvl w:ilvl="4" w:tplc="7BAE3632">
      <w:start w:val="1"/>
      <w:numFmt w:val="lowerLetter"/>
      <w:lvlText w:val="%5."/>
      <w:lvlJc w:val="left"/>
      <w:pPr>
        <w:ind w:left="3600" w:hanging="360"/>
      </w:pPr>
    </w:lvl>
    <w:lvl w:ilvl="5" w:tplc="A0020CB4">
      <w:start w:val="1"/>
      <w:numFmt w:val="lowerRoman"/>
      <w:lvlText w:val="%6."/>
      <w:lvlJc w:val="right"/>
      <w:pPr>
        <w:ind w:left="4320" w:hanging="180"/>
      </w:pPr>
    </w:lvl>
    <w:lvl w:ilvl="6" w:tplc="934C3090">
      <w:start w:val="1"/>
      <w:numFmt w:val="decimal"/>
      <w:lvlText w:val="%7."/>
      <w:lvlJc w:val="left"/>
      <w:pPr>
        <w:ind w:left="5040" w:hanging="360"/>
      </w:pPr>
    </w:lvl>
    <w:lvl w:ilvl="7" w:tplc="4EE654A4">
      <w:start w:val="1"/>
      <w:numFmt w:val="lowerLetter"/>
      <w:lvlText w:val="%8."/>
      <w:lvlJc w:val="left"/>
      <w:pPr>
        <w:ind w:left="5760" w:hanging="360"/>
      </w:pPr>
    </w:lvl>
    <w:lvl w:ilvl="8" w:tplc="98F67B8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4008D6"/>
    <w:multiLevelType w:val="hybridMultilevel"/>
    <w:tmpl w:val="5B9E257E"/>
    <w:lvl w:ilvl="0" w:tplc="DAB4BD9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A02D8E8">
      <w:start w:val="1"/>
      <w:numFmt w:val="lowerLetter"/>
      <w:lvlText w:val="%2."/>
      <w:lvlJc w:val="left"/>
      <w:pPr>
        <w:ind w:left="2148" w:hanging="360"/>
      </w:pPr>
    </w:lvl>
    <w:lvl w:ilvl="2" w:tplc="C1625204">
      <w:start w:val="1"/>
      <w:numFmt w:val="lowerRoman"/>
      <w:lvlText w:val="%3."/>
      <w:lvlJc w:val="right"/>
      <w:pPr>
        <w:ind w:left="2868" w:hanging="180"/>
      </w:pPr>
    </w:lvl>
    <w:lvl w:ilvl="3" w:tplc="C4D80898">
      <w:start w:val="1"/>
      <w:numFmt w:val="decimal"/>
      <w:lvlText w:val="%4."/>
      <w:lvlJc w:val="left"/>
      <w:pPr>
        <w:ind w:left="3588" w:hanging="360"/>
      </w:pPr>
    </w:lvl>
    <w:lvl w:ilvl="4" w:tplc="1018BB20">
      <w:start w:val="1"/>
      <w:numFmt w:val="lowerLetter"/>
      <w:lvlText w:val="%5."/>
      <w:lvlJc w:val="left"/>
      <w:pPr>
        <w:ind w:left="4308" w:hanging="360"/>
      </w:pPr>
    </w:lvl>
    <w:lvl w:ilvl="5" w:tplc="3F7E25D4">
      <w:start w:val="1"/>
      <w:numFmt w:val="lowerRoman"/>
      <w:lvlText w:val="%6."/>
      <w:lvlJc w:val="right"/>
      <w:pPr>
        <w:ind w:left="5028" w:hanging="180"/>
      </w:pPr>
    </w:lvl>
    <w:lvl w:ilvl="6" w:tplc="A878AB74">
      <w:start w:val="1"/>
      <w:numFmt w:val="decimal"/>
      <w:lvlText w:val="%7."/>
      <w:lvlJc w:val="left"/>
      <w:pPr>
        <w:ind w:left="5748" w:hanging="360"/>
      </w:pPr>
    </w:lvl>
    <w:lvl w:ilvl="7" w:tplc="0CC68884">
      <w:start w:val="1"/>
      <w:numFmt w:val="lowerLetter"/>
      <w:lvlText w:val="%8."/>
      <w:lvlJc w:val="left"/>
      <w:pPr>
        <w:ind w:left="6468" w:hanging="360"/>
      </w:pPr>
    </w:lvl>
    <w:lvl w:ilvl="8" w:tplc="A874D83A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387D615F"/>
    <w:multiLevelType w:val="hybridMultilevel"/>
    <w:tmpl w:val="A3E047B4"/>
    <w:lvl w:ilvl="0" w:tplc="3432B0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EBEC878">
      <w:start w:val="1"/>
      <w:numFmt w:val="lowerLetter"/>
      <w:lvlText w:val="%2."/>
      <w:lvlJc w:val="left"/>
      <w:pPr>
        <w:ind w:left="1647" w:hanging="360"/>
      </w:pPr>
    </w:lvl>
    <w:lvl w:ilvl="2" w:tplc="18049868">
      <w:start w:val="1"/>
      <w:numFmt w:val="lowerRoman"/>
      <w:lvlText w:val="%3."/>
      <w:lvlJc w:val="right"/>
      <w:pPr>
        <w:ind w:left="2367" w:hanging="180"/>
      </w:pPr>
    </w:lvl>
    <w:lvl w:ilvl="3" w:tplc="44A28BCE">
      <w:start w:val="1"/>
      <w:numFmt w:val="decimal"/>
      <w:lvlText w:val="%4."/>
      <w:lvlJc w:val="left"/>
      <w:pPr>
        <w:ind w:left="3087" w:hanging="360"/>
      </w:pPr>
    </w:lvl>
    <w:lvl w:ilvl="4" w:tplc="EBC230B8">
      <w:start w:val="1"/>
      <w:numFmt w:val="lowerLetter"/>
      <w:lvlText w:val="%5."/>
      <w:lvlJc w:val="left"/>
      <w:pPr>
        <w:ind w:left="3807" w:hanging="360"/>
      </w:pPr>
    </w:lvl>
    <w:lvl w:ilvl="5" w:tplc="84D8EB10">
      <w:start w:val="1"/>
      <w:numFmt w:val="lowerRoman"/>
      <w:lvlText w:val="%6."/>
      <w:lvlJc w:val="right"/>
      <w:pPr>
        <w:ind w:left="4527" w:hanging="180"/>
      </w:pPr>
    </w:lvl>
    <w:lvl w:ilvl="6" w:tplc="62AE458E">
      <w:start w:val="1"/>
      <w:numFmt w:val="decimal"/>
      <w:lvlText w:val="%7."/>
      <w:lvlJc w:val="left"/>
      <w:pPr>
        <w:ind w:left="5247" w:hanging="360"/>
      </w:pPr>
    </w:lvl>
    <w:lvl w:ilvl="7" w:tplc="B3C2CD38">
      <w:start w:val="1"/>
      <w:numFmt w:val="lowerLetter"/>
      <w:lvlText w:val="%8."/>
      <w:lvlJc w:val="left"/>
      <w:pPr>
        <w:ind w:left="5967" w:hanging="360"/>
      </w:pPr>
    </w:lvl>
    <w:lvl w:ilvl="8" w:tplc="51DE2170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9C0093D"/>
    <w:multiLevelType w:val="multilevel"/>
    <w:tmpl w:val="01F6B8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7">
    <w:nsid w:val="55B84529"/>
    <w:multiLevelType w:val="hybridMultilevel"/>
    <w:tmpl w:val="D24423B2"/>
    <w:lvl w:ilvl="0" w:tplc="D6643E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48D366">
      <w:start w:val="1"/>
      <w:numFmt w:val="lowerLetter"/>
      <w:lvlText w:val="%2."/>
      <w:lvlJc w:val="left"/>
      <w:pPr>
        <w:ind w:left="1440" w:hanging="360"/>
      </w:pPr>
    </w:lvl>
    <w:lvl w:ilvl="2" w:tplc="93E67352">
      <w:start w:val="1"/>
      <w:numFmt w:val="lowerRoman"/>
      <w:lvlText w:val="%3."/>
      <w:lvlJc w:val="right"/>
      <w:pPr>
        <w:ind w:left="2160" w:hanging="180"/>
      </w:pPr>
    </w:lvl>
    <w:lvl w:ilvl="3" w:tplc="7AD4BB22">
      <w:start w:val="1"/>
      <w:numFmt w:val="decimal"/>
      <w:lvlText w:val="%4."/>
      <w:lvlJc w:val="left"/>
      <w:pPr>
        <w:ind w:left="2880" w:hanging="360"/>
      </w:pPr>
    </w:lvl>
    <w:lvl w:ilvl="4" w:tplc="C17C25A6">
      <w:start w:val="1"/>
      <w:numFmt w:val="lowerLetter"/>
      <w:lvlText w:val="%5."/>
      <w:lvlJc w:val="left"/>
      <w:pPr>
        <w:ind w:left="3600" w:hanging="360"/>
      </w:pPr>
    </w:lvl>
    <w:lvl w:ilvl="5" w:tplc="B9EC0776">
      <w:start w:val="1"/>
      <w:numFmt w:val="lowerRoman"/>
      <w:lvlText w:val="%6."/>
      <w:lvlJc w:val="right"/>
      <w:pPr>
        <w:ind w:left="4320" w:hanging="180"/>
      </w:pPr>
    </w:lvl>
    <w:lvl w:ilvl="6" w:tplc="900E0D78">
      <w:start w:val="1"/>
      <w:numFmt w:val="decimal"/>
      <w:lvlText w:val="%7."/>
      <w:lvlJc w:val="left"/>
      <w:pPr>
        <w:ind w:left="5040" w:hanging="360"/>
      </w:pPr>
    </w:lvl>
    <w:lvl w:ilvl="7" w:tplc="21DECBE2">
      <w:start w:val="1"/>
      <w:numFmt w:val="lowerLetter"/>
      <w:lvlText w:val="%8."/>
      <w:lvlJc w:val="left"/>
      <w:pPr>
        <w:ind w:left="5760" w:hanging="360"/>
      </w:pPr>
    </w:lvl>
    <w:lvl w:ilvl="8" w:tplc="58C872A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190D26"/>
    <w:multiLevelType w:val="multilevel"/>
    <w:tmpl w:val="3568438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C33"/>
    <w:rsid w:val="000A32A8"/>
    <w:rsid w:val="00231C33"/>
    <w:rsid w:val="00F17322"/>
    <w:rsid w:val="00F7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B3EED331-E9CF-40A6-B4CB-F797EE24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customStyle="1" w:styleId="ASFKNormal">
    <w:name w:val="_ASFK_Normal"/>
    <w:link w:val="ASFKNormal0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rmal0">
    <w:name w:val="_ASFK_Normal Знак"/>
    <w:link w:val="ASFKNormal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3">
    <w:name w:val="TOC Heading"/>
    <w:basedOn w:val="1"/>
    <w:next w:val="a"/>
    <w:uiPriority w:val="39"/>
    <w:unhideWhenUsed/>
    <w:qFormat/>
    <w:pPr>
      <w:outlineLvl w:val="9"/>
    </w:pPr>
    <w:rPr>
      <w:lang w:eastAsia="ru-RU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table" w:styleId="afb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4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1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32908-4D68-4A37-9166-0B7D7B45E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Даниленко Анастасия</dc:creator>
  <cp:lastModifiedBy>Адылев Алишер Алипкалиевич</cp:lastModifiedBy>
  <cp:revision>4</cp:revision>
  <dcterms:created xsi:type="dcterms:W3CDTF">2025-01-20T12:59:00Z</dcterms:created>
  <dcterms:modified xsi:type="dcterms:W3CDTF">2025-01-23T11:23:00Z</dcterms:modified>
</cp:coreProperties>
</file>