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0D79" w:rsidRDefault="00B51377">
      <w:pPr>
        <w:jc w:val="center"/>
        <w:rPr>
          <w:rFonts w:ascii="Times New Roman" w:eastAsia="Times New Roman" w:hAnsi="Times New Roman" w:cs="Times New Roman"/>
          <w:b/>
          <w:sz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0000"/>
          <w:sz w:val="28"/>
        </w:rPr>
        <w:t>Информация о полномочиях, назначаемых в Подсистеме обеспечения информационной безопасности Системы обеспечения безопасности информации Федерального казначейства (ПОИБ СОБИ ФК), для работы в подсистеме информационно-аналитического обеспечения государственной интегрированной информационной системы управления общественными финансами «Электронный бюджет» (ПИАО)</w:t>
      </w:r>
    </w:p>
    <w:p w:rsidR="00660D79" w:rsidRDefault="00B51377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934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6"/>
        <w:gridCol w:w="3095"/>
        <w:gridCol w:w="1110"/>
        <w:gridCol w:w="4402"/>
      </w:tblGrid>
      <w:tr w:rsidR="00660D79">
        <w:trPr>
          <w:trHeight w:val="948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№ п/п</w:t>
            </w:r>
          </w:p>
        </w:tc>
        <w:tc>
          <w:tcPr>
            <w:tcW w:w="4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Описание полномочия для доступа к ПИАО Системы Электронный бюджет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Наименование полномочия в ПОИБ СОБИ ФК</w:t>
            </w:r>
          </w:p>
        </w:tc>
      </w:tr>
      <w:tr w:rsidR="00660D79">
        <w:trPr>
          <w:trHeight w:val="850"/>
          <w:jc w:val="center"/>
        </w:trPr>
        <w:tc>
          <w:tcPr>
            <w:tcW w:w="9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Для сотрудников федеральных органов исполнительной власти (ФОИВ),</w:t>
            </w:r>
          </w:p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главных администраторов бюджетных средств федерального бюджета (ГАБС),</w:t>
            </w:r>
          </w:p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территориальных органов ФОИВ и ГАБС и их подведомственных учреждений</w:t>
            </w:r>
          </w:p>
        </w:tc>
      </w:tr>
      <w:tr w:rsidR="00660D79">
        <w:trPr>
          <w:trHeight w:val="1005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Мониторинг исполнения бюджетов бюджетной системы РФ (ФОИВ)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ПИАО.100.Исполнение бюджета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ПИАО.ФОИВ</w:t>
            </w:r>
          </w:p>
        </w:tc>
      </w:tr>
      <w:tr w:rsidR="00660D79">
        <w:trPr>
          <w:trHeight w:val="1005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доходов (ФОИВ)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ПИАО.110.Доходы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ПИАО.ФОИВ</w:t>
            </w:r>
          </w:p>
        </w:tc>
      </w:tr>
      <w:tr w:rsidR="00660D79">
        <w:trPr>
          <w:trHeight w:val="1005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(ФОИВ)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ПИАО.120.Расходы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ПИАО.ФОИВ</w:t>
            </w:r>
          </w:p>
        </w:tc>
      </w:tr>
      <w:tr w:rsidR="00660D79">
        <w:trPr>
          <w:trHeight w:val="1005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на ОКС (ФОИВ)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ПИАО.121.Строительство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ПИАО.ФОИВ</w:t>
            </w:r>
          </w:p>
        </w:tc>
      </w:tr>
      <w:tr w:rsidR="00660D79">
        <w:trPr>
          <w:trHeight w:val="111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в части субсидий (ФОИВ)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ПИАО.122.Субсидии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ПИАО.ФОИВ</w:t>
            </w:r>
          </w:p>
        </w:tc>
      </w:tr>
      <w:tr w:rsidR="00660D79">
        <w:trPr>
          <w:trHeight w:val="1261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в части закупок товаров, работ, услуг (ФОИВ)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ПИАО.123.Закупки ТРУ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ПИАО.ФОИВ</w:t>
            </w:r>
          </w:p>
        </w:tc>
      </w:tr>
      <w:tr w:rsidR="00660D79">
        <w:trPr>
          <w:trHeight w:val="1261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Мониторинг информации по прогнозированию и кассовому планированию средств федерального бюджета (ФОИВ)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ПИАО.140.Кассовое планирование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ПИАО.ФОИВ</w:t>
            </w:r>
          </w:p>
        </w:tc>
      </w:tr>
      <w:tr w:rsidR="00660D79">
        <w:trPr>
          <w:trHeight w:val="1261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Казначейское обслуживание (ФОИВ)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ПИАО.200.Казначейское обслуживание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ПИАО.ФОИВ</w:t>
            </w:r>
          </w:p>
        </w:tc>
      </w:tr>
      <w:tr w:rsidR="00660D79">
        <w:trPr>
          <w:trHeight w:val="1261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Казначейское сопровождение (ФОИВ)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ПИАО.300.Казначейское сопровождение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ПИАО.ФОИВ</w:t>
            </w:r>
          </w:p>
        </w:tc>
      </w:tr>
      <w:tr w:rsidR="00660D79">
        <w:trPr>
          <w:trHeight w:val="1261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Анализ ведения бюджетного (бухгалтерского) учета (ФОИВ)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ПИАО.604.Бюджетный учет.Субъект учета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ПИАО.ФОИВ</w:t>
            </w:r>
          </w:p>
        </w:tc>
      </w:tr>
      <w:tr w:rsidR="00660D79">
        <w:trPr>
          <w:trHeight w:val="1261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Анализ ведения бюджетного (бухгалтерского) учета (Глава)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ПИАО.602.Бюджетный учет.Глава</w:t>
            </w:r>
            <w:r>
              <w:rPr>
                <w:rStyle w:val="af0"/>
                <w:rFonts w:ascii="Times New Roman" w:eastAsia="Times New Roman" w:hAnsi="Times New Roman" w:cs="Times New Roman"/>
                <w:color w:val="000000"/>
                <w:sz w:val="20"/>
              </w:rPr>
              <w:endnoteReference w:id="1"/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ПИАО.ФОИВ</w:t>
            </w:r>
          </w:p>
        </w:tc>
      </w:tr>
      <w:tr w:rsidR="00660D79">
        <w:trPr>
          <w:trHeight w:val="1261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Анализ ведения бюджетного (бухгалтерского) учета (Технологическая интеграция)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ПИАО.605.Бюджетный учет.Тех_интеграция</w:t>
            </w:r>
            <w:r>
              <w:rPr>
                <w:rStyle w:val="af0"/>
                <w:rFonts w:ascii="Times New Roman" w:eastAsia="Times New Roman" w:hAnsi="Times New Roman" w:cs="Times New Roman"/>
                <w:color w:val="000000"/>
                <w:sz w:val="20"/>
              </w:rPr>
              <w:endnoteReference w:id="2"/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ПИАО.ФОИВ</w:t>
            </w:r>
          </w:p>
        </w:tc>
      </w:tr>
      <w:tr w:rsidR="00660D79">
        <w:trPr>
          <w:trHeight w:val="1261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Статистика государственных финансов (ФОИВ)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ПИАО.800.Статистика государственных финансов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ПИАО.ФОИВ</w:t>
            </w:r>
          </w:p>
        </w:tc>
      </w:tr>
      <w:tr w:rsidR="00660D79">
        <w:trPr>
          <w:trHeight w:val="1261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 всего (ФОИВ)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ПИАО.000.Просмотр всего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ПИАО.ФОИВ</w:t>
            </w:r>
          </w:p>
        </w:tc>
      </w:tr>
      <w:tr w:rsidR="00660D79">
        <w:trPr>
          <w:trHeight w:val="870"/>
          <w:jc w:val="center"/>
        </w:trPr>
        <w:tc>
          <w:tcPr>
            <w:tcW w:w="9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Для сотрудников Министерства финансов Российской Федерации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Мониторинг исполнения бюджетов бюджетной системы РФ (МФ)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ПИАО.100.Исполнение бюджета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ПИАО.МФ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доходов (МФ)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ПИАО.110.Доходы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ПИАО.МФ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(МФ)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ПИАО.120.Расходы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ПИАО.МФ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</w:t>
            </w:r>
          </w:p>
        </w:tc>
        <w:tc>
          <w:tcPr>
            <w:tcW w:w="3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на ОКС (МФ)</w:t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ПИАО.121.Строительство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ПИАО.МФ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5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в части субсидий (МФ)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ПИАО.122.Субсидии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ПИАО.МФ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в части закупок товаров, работ, услуг (МФ)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ПИАО.123.Закупки ТРУ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ПИАО.МФ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Мониторинг информации по прогнозированию и кассовому планированию средств федерального бюджета (МФ)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ПИАО.140.Кассовое планирование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ПИАО.МФ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Казначейское обслуживание (МФ)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ПИАО.200.Казначейское обслуживание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ПИАО.МФ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Казначейское сопровождение (МФ)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ПИАО.300.Казначейское сопровождение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ПИАО.МФ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Анализ ведения бюджетного (бухгалтерского) учета (МФ)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ПИАО.601.Бюджетный учет.Полный доступ 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ПИАО.МФ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Статистика государственных финансов (МФ)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ПИАО.800.Статистика государственных финансов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ПИАО.МФ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 всего (МФ)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ПИАО.000.Просмотр всего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ПИАО.МФ</w:t>
            </w:r>
          </w:p>
        </w:tc>
      </w:tr>
      <w:tr w:rsidR="00660D79">
        <w:trPr>
          <w:trHeight w:val="850"/>
          <w:jc w:val="center"/>
        </w:trPr>
        <w:tc>
          <w:tcPr>
            <w:tcW w:w="9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Для сотрудников финансовых органов,</w:t>
            </w:r>
          </w:p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региональных органов исполнительной власти,</w:t>
            </w:r>
          </w:p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высших должностных лиц (их представителей),</w:t>
            </w:r>
          </w:p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контрольно-надзорных органов субъектов Российской Федерации (муниципальных образований)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Мониторинг исполнения бюджетов бюджетной системы РФ (ФО)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ПИАО.100.Исполнение бюджета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ПИАО.ФО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доходов (ФО)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ПИАО.110.Доходы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ПИАО.ФО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3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(ФО)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ПИАО.120.Расходы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ПИАО.ФО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на ОКС (ФО)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ПИАО.121.Строительство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ПИАО.ФО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в части субсидий (ФО)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ПИАО.122.Субсидии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ПИАО.ФО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в части закупок товаров, работ, услуг (ФО)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ПИАО.123.Закупки ТРУ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ПИАО.ФО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7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Казначейское обслуживание (ФО)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ПИАО.200.Казначейское обслуживание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ПИАО.ФО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Казначейское сопровождение (ФО)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ПИАО.300.Казначейское сопровождение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ПИАО.ФО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 всего (ФО)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ПИАО.000.Просмотр всего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ПИАО.ФО</w:t>
            </w:r>
          </w:p>
        </w:tc>
      </w:tr>
      <w:tr w:rsidR="00660D79">
        <w:trPr>
          <w:trHeight w:val="1304"/>
          <w:jc w:val="center"/>
        </w:trPr>
        <w:tc>
          <w:tcPr>
            <w:tcW w:w="9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Для сотрудников контрольно-надзорных органов:</w:t>
            </w:r>
          </w:p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Счетная палата Российской Федерации, Контрольное управление Администрации Президента Российской Федерации,</w:t>
            </w:r>
          </w:p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Аппарат полномочного представителя Президента Российской Федерации в федеральном округе, Органы Прокуратуры (РФ и субъектов РФ),</w:t>
            </w:r>
          </w:p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Министерство экономического развития Российской Федерации</w:t>
            </w:r>
          </w:p>
        </w:tc>
      </w:tr>
      <w:tr w:rsidR="00660D79">
        <w:trPr>
          <w:trHeight w:val="110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Мониторинг исполнения бюджетов бюджетной системы РФ (КНО)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ПИАО.100.Исполнение бюджета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ПИАО.КНО</w:t>
            </w:r>
          </w:p>
        </w:tc>
      </w:tr>
      <w:tr w:rsidR="00660D79">
        <w:trPr>
          <w:trHeight w:val="110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доходов (КНО)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ПИАО.110.Доходы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ПИАО.КНО</w:t>
            </w:r>
          </w:p>
        </w:tc>
      </w:tr>
      <w:tr w:rsidR="00660D79">
        <w:trPr>
          <w:trHeight w:val="110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(КНО)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ПИАО.120.Расходы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ПИАО.КНО</w:t>
            </w:r>
          </w:p>
        </w:tc>
      </w:tr>
      <w:tr w:rsidR="00660D79">
        <w:trPr>
          <w:trHeight w:val="110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4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на ОКС (КНО)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ПИАО.121.Строительство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ПИАО.КНО</w:t>
            </w:r>
          </w:p>
        </w:tc>
      </w:tr>
      <w:tr w:rsidR="00660D79">
        <w:trPr>
          <w:trHeight w:val="110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в части субсидий (КНО)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ПИАО.122.Субсидии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ПИАО.КНО</w:t>
            </w:r>
          </w:p>
        </w:tc>
      </w:tr>
      <w:tr w:rsidR="00660D79">
        <w:trPr>
          <w:trHeight w:val="110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в части закупок товаров, работ, услуг (КНО)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ПИАО.123.Закупки ТРУ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ПИАО.КНО</w:t>
            </w:r>
          </w:p>
        </w:tc>
      </w:tr>
      <w:tr w:rsidR="00660D79">
        <w:trPr>
          <w:trHeight w:val="110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Мониторинг информации по прогнозированию и кассовому планированию средств федерального бюджета (КНО)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ПИАО.140.Кассовое планирование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ПИАО.КНО</w:t>
            </w:r>
          </w:p>
        </w:tc>
      </w:tr>
      <w:tr w:rsidR="00660D79">
        <w:trPr>
          <w:trHeight w:val="110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Казначейское обслуживание (КНО)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ПИАО.200.Казначейское обслуживание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ПИАО.КНО</w:t>
            </w:r>
          </w:p>
        </w:tc>
      </w:tr>
      <w:tr w:rsidR="00660D79">
        <w:trPr>
          <w:trHeight w:val="110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Казначейское сопровождение (КНО)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ПИАО.300.Казначейское сопровождение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ПИАО.КНО</w:t>
            </w:r>
          </w:p>
        </w:tc>
      </w:tr>
      <w:tr w:rsidR="00660D79">
        <w:trPr>
          <w:trHeight w:val="110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Анализ ведения бюджетного (бухгалтерского) учета (КНО)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ПИАО.601.Бюджетный учет.Полный доступ ПИАО.КНО</w:t>
            </w:r>
          </w:p>
        </w:tc>
      </w:tr>
      <w:tr w:rsidR="00660D79">
        <w:trPr>
          <w:trHeight w:val="110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11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Статистика государственных финансов (КНО)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ПИАО.800.Статистика государственных финансов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ПИАО.КНО</w:t>
            </w:r>
          </w:p>
        </w:tc>
      </w:tr>
      <w:tr w:rsidR="00660D79">
        <w:trPr>
          <w:trHeight w:val="110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12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 всего (КНО)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ПИАО.000.Просмотр всего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ПИАО.КНО</w:t>
            </w:r>
          </w:p>
        </w:tc>
      </w:tr>
      <w:tr w:rsidR="00660D79">
        <w:trPr>
          <w:trHeight w:val="1191"/>
          <w:jc w:val="center"/>
        </w:trPr>
        <w:tc>
          <w:tcPr>
            <w:tcW w:w="9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Для сотрудников Отдела развития аналитических систем Управления развития информационных систем Федерального казначейства,</w:t>
            </w:r>
          </w:p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Отдела администрирования системы управления эксплуатацией и ситуационного центра ФКУ «ЦОКР»</w:t>
            </w:r>
          </w:p>
        </w:tc>
      </w:tr>
      <w:tr w:rsidR="00660D79">
        <w:trPr>
          <w:trHeight w:val="1347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Администратор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Ввод данных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ПИАО.011.Администратор</w:t>
            </w:r>
          </w:p>
        </w:tc>
      </w:tr>
      <w:tr w:rsidR="00660D79">
        <w:trPr>
          <w:trHeight w:val="850"/>
          <w:jc w:val="center"/>
        </w:trPr>
        <w:tc>
          <w:tcPr>
            <w:tcW w:w="9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Для сотрудников Администрации Президента Российской Федерации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1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Мониторинг исполнения бюджетов бюджетной системы РФ (АДМИНИСТРАЦИЯ ПРЕЗИДЕНТА)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ПИАО.100.Исполнение бюджета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ПИАО.АДМИНИСТРАЦИЯ ПРЕЗИДЕНТА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доходов (АДМИНИСТРАЦИЯ ПРЕЗИДЕНТА)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ПИАО.110.Доходы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ПИАО.АДМИНИСТРАЦИЯ ПРЕЗИДЕНТА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(АДМИНИСТРАЦИЯ ПРЕЗИДЕНТА)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ПИАО.120.Расходы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ПИАО.АДМИНИСТРАЦИЯ ПРЕЗИДЕНТА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на ОКС (АДМИНИСТРАЦИЯ ПРЕЗИДЕНТА)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ПИАО.121.Строительство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ПИАО.АДМИНИСТРАЦИЯ ПРЕЗИДЕНТА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в части субсидий (АДМИНИСТРАЦИЯ ПРЕЗИДЕНТА)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ПИАО.122.Субсидии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ПИАО.АДМИНИСТРАЦИЯ ПРЕЗИДЕНТА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Казначейское обслуживание (АДМИНИСТРАЦИЯ ПРЕЗИДЕНТА)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ПИАО.200.Казначейское обслуживание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ПИАО.АДМИНИСТРАЦИЯ ПРЕЗИДЕНТА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Статистика государственных финансов (АДМИНИСТРАЦИЯ ПРЕЗИДЕНТА)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ПИАО.800.Статистика государственных финансов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ПИАО.АДМИНИСТРАЦИЯ ПРЕЗИДЕНТА</w:t>
            </w:r>
          </w:p>
        </w:tc>
      </w:tr>
      <w:tr w:rsidR="00660D79">
        <w:trPr>
          <w:trHeight w:val="1102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 всего (АДМИНИСТРАЦИЯ ПРЕЗИДЕНТА)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ПИАО.000.Просмотр всего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ПИАО.АДМИНИСТРАЦИЯ ПРЕЗИДЕНТА</w:t>
            </w:r>
          </w:p>
        </w:tc>
      </w:tr>
      <w:tr w:rsidR="00660D79">
        <w:trPr>
          <w:trHeight w:val="850"/>
          <w:jc w:val="center"/>
        </w:trPr>
        <w:tc>
          <w:tcPr>
            <w:tcW w:w="9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Для сотрудников Правительства Российской Федерации,</w:t>
            </w:r>
          </w:p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Аналитического центра при Правительстве Российской Федерации,</w:t>
            </w:r>
          </w:p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Государственной корпорации развития «ВЭБ.РФ»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Мониторинг исполнения бюджетов бюджетной системы РФ (ПРАВИТЕЛЬСТВО)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ПИАО.100.Исполнение бюджета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ПИАО.ПРАВИТЕЛЬСТВО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доходов (ПРАВИТЕЛЬСТВО)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ПИАО.110.Доходы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ПИАО.ПРАВИТЕЛЬСТВО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3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(ПРАВИТЕЛЬСТВО)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ПИАО.120.Расходы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ПИАО.ПРАВИТЕЛЬСТВО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на ОКС (ПРАВИТЕЛЬСТВО)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ПИАО.121.Строительство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ПИАО.ПРАВИТЕЛЬСТВО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Исполнение расходов в части субсидий (ПРАВИТЕЛЬСТВО)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ПИАО.122.Субсидии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ПИАО.ПРАВИТЕЛЬСТВО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Казначейское обслуживание (ПРАВИТЕЛЬСТВО)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ПИАО.200.Казначейское обслуживание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ПИАО.ПРАВИТЕЛЬСТВО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Статистика государственных финансов (ПРАВИТЕЛЬСТВО)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ПИАО.800.Статистика государственных финансов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ПИАО.ПРАВИТЕЛЬСТВО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 всего (ПРАВИТЕЛЬСТВО)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ПИАО.000.Просмотр всего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ПИАО.ПРАВИТЕЛЬСТВО</w:t>
            </w:r>
          </w:p>
        </w:tc>
      </w:tr>
      <w:tr w:rsidR="00660D79">
        <w:trPr>
          <w:trHeight w:val="850"/>
          <w:jc w:val="center"/>
        </w:trPr>
        <w:tc>
          <w:tcPr>
            <w:tcW w:w="9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Для сотрудников юридических лиц, являющихся участниками казначейского сопровождения средств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 всего (ЮРЛИЦА)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ПИАО.000.Просмотр всего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ПИАО.ЮРЛИЦА</w:t>
            </w:r>
          </w:p>
        </w:tc>
      </w:tr>
      <w:tr w:rsidR="00660D79">
        <w:trPr>
          <w:trHeight w:val="850"/>
          <w:jc w:val="center"/>
        </w:trPr>
        <w:tc>
          <w:tcPr>
            <w:tcW w:w="9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  <w:shd w:val="clear" w:color="auto" w:fill="FFFF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Для сотрудников автономных и бюджетных учреждений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Мониторинг исполнения бюджетов бюджетной системы РФ (АУ/БУ)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ПИАО.100.Исполнение бюджета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ПИАО.АУ/БУ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Анализ ведения бюджетного (бухгалтерского) учета (КНО)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ПИАО.604.Бюджетный учет.Субъект учета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 АУ/БУ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Анализ ведения бюджетного (бухгалтерского) учета (Технологическая интеграция АУ/БУ)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ПИАО.605.Бюджетный учет.Тех_интеграция</w:t>
            </w:r>
            <w:r>
              <w:rPr>
                <w:rStyle w:val="af0"/>
                <w:rFonts w:ascii="Times New Roman" w:eastAsia="Times New Roman" w:hAnsi="Times New Roman" w:cs="Times New Roman"/>
                <w:color w:val="000000"/>
                <w:sz w:val="20"/>
              </w:rPr>
              <w:endnoteReference w:id="3"/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ПИАО.АУ/БУ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4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 всего (АУ/БУ)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ПИАО.000.Просмотр всего</w:t>
            </w:r>
          </w:p>
          <w:p w:rsidR="00660D79" w:rsidRDefault="00B51377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ПИАО.АУ/БУ</w:t>
            </w:r>
          </w:p>
        </w:tc>
      </w:tr>
      <w:tr w:rsidR="00660D79">
        <w:trPr>
          <w:trHeight w:val="850"/>
          <w:jc w:val="center"/>
        </w:trPr>
        <w:tc>
          <w:tcPr>
            <w:tcW w:w="9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Для всех вышеперечисленных категорий пользователей ПИАО</w:t>
            </w:r>
          </w:p>
        </w:tc>
      </w:tr>
      <w:tr w:rsidR="00660D79">
        <w:trPr>
          <w:trHeight w:val="12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Мобильное приложение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Просмотр</w:t>
            </w:r>
          </w:p>
        </w:tc>
        <w:tc>
          <w:tcPr>
            <w:tcW w:w="4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79" w:rsidRDefault="00B5137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ПИАО.013 Доступ к мобильному приложению</w:t>
            </w:r>
          </w:p>
        </w:tc>
      </w:tr>
    </w:tbl>
    <w:p w:rsidR="00660D79" w:rsidRDefault="00660D79"/>
    <w:sectPr w:rsidR="00660D79">
      <w:headerReference w:type="default" r:id="rId7"/>
      <w:headerReference w:type="first" r:id="rId8"/>
      <w:footerReference w:type="first" r:id="rId9"/>
      <w:pgSz w:w="11906" w:h="16838"/>
      <w:pgMar w:top="1134" w:right="850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1377" w:rsidRDefault="00B51377">
      <w:r>
        <w:separator/>
      </w:r>
    </w:p>
  </w:endnote>
  <w:endnote w:type="continuationSeparator" w:id="0">
    <w:p w:rsidR="00B51377" w:rsidRDefault="00B51377">
      <w:r>
        <w:continuationSeparator/>
      </w:r>
    </w:p>
  </w:endnote>
  <w:endnote w:id="1">
    <w:p w:rsidR="00660D79" w:rsidRDefault="00B51377">
      <w:pPr>
        <w:pStyle w:val="af"/>
      </w:pPr>
      <w:r>
        <w:rPr>
          <w:rStyle w:val="af0"/>
        </w:rPr>
        <w:endnoteRef/>
      </w:r>
      <w:r>
        <w:t xml:space="preserve"> </w:t>
      </w:r>
      <w:r>
        <w:rPr>
          <w:rFonts w:ascii="Times New Roman" w:hAnsi="Times New Roman" w:cs="Times New Roman"/>
          <w:szCs w:val="24"/>
        </w:rPr>
        <w:t>Для сотрудников Главных администраторов бюджетных средств и Главных распорядителей бюджетных средств</w:t>
      </w:r>
    </w:p>
  </w:endnote>
  <w:endnote w:id="2">
    <w:p w:rsidR="00660D79" w:rsidRDefault="00B51377">
      <w:pPr>
        <w:pStyle w:val="af"/>
      </w:pPr>
      <w:r>
        <w:rPr>
          <w:rStyle w:val="af0"/>
        </w:rPr>
        <w:endnoteRef/>
      </w:r>
      <w:r>
        <w:t xml:space="preserve"> </w:t>
      </w:r>
      <w:r>
        <w:rPr>
          <w:rFonts w:ascii="Times New Roman" w:hAnsi="Times New Roman" w:cs="Times New Roman"/>
        </w:rPr>
        <w:t xml:space="preserve">Для сотрудников </w:t>
      </w:r>
      <w:r>
        <w:rPr>
          <w:rFonts w:ascii="Times New Roman" w:hAnsi="Times New Roman" w:cs="Times New Roman"/>
          <w:szCs w:val="24"/>
        </w:rPr>
        <w:t>организаций бюджетной сферы, технологически интегрирующие данные бухгалтерского учета с интегрированной информационной системой управления общественными финансами «Электронный бюджет»</w:t>
      </w:r>
    </w:p>
  </w:endnote>
  <w:endnote w:id="3">
    <w:p w:rsidR="00660D79" w:rsidRDefault="00B51377">
      <w:pPr>
        <w:pStyle w:val="af"/>
        <w:rPr>
          <w:rFonts w:ascii="Times New Roman" w:hAnsi="Times New Roman" w:cs="Times New Roman"/>
        </w:rPr>
      </w:pPr>
      <w:r>
        <w:rPr>
          <w:rStyle w:val="af0"/>
          <w:rFonts w:ascii="Times New Roman" w:hAnsi="Times New Roman" w:cs="Times New Roman"/>
        </w:rPr>
        <w:endnoteRef/>
      </w:r>
      <w:r>
        <w:rPr>
          <w:rFonts w:ascii="Times New Roman" w:hAnsi="Times New Roman" w:cs="Times New Roman"/>
        </w:rPr>
        <w:t xml:space="preserve"> Для сотрудников </w:t>
      </w:r>
      <w:r>
        <w:rPr>
          <w:rFonts w:ascii="Times New Roman" w:hAnsi="Times New Roman" w:cs="Times New Roman"/>
          <w:szCs w:val="24"/>
        </w:rPr>
        <w:t>организаций бюджетной сферы, технологически интегрирующие данные бухгалтерского учета с интегрированной информационной системой управления общественными финансами «Электронный бюджет»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0D79" w:rsidRDefault="00660D79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1377" w:rsidRDefault="00B51377">
      <w:r>
        <w:separator/>
      </w:r>
    </w:p>
  </w:footnote>
  <w:footnote w:type="continuationSeparator" w:id="0">
    <w:p w:rsidR="00B51377" w:rsidRDefault="00B513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0D79" w:rsidRDefault="00B51377">
    <w:pPr>
      <w:pStyle w:val="a9"/>
      <w:jc w:val="center"/>
    </w:pPr>
    <w:r>
      <w:fldChar w:fldCharType="begin"/>
    </w:r>
    <w:r>
      <w:instrText>PAGE \* MERGEFORMAT</w:instrText>
    </w:r>
    <w:r>
      <w:fldChar w:fldCharType="separate"/>
    </w:r>
    <w:r w:rsidR="00EF05B7">
      <w:rPr>
        <w:noProof/>
      </w:rPr>
      <w:t>8</w:t>
    </w:r>
    <w:r>
      <w:fldChar w:fldCharType="end"/>
    </w:r>
  </w:p>
  <w:p w:rsidR="00660D79" w:rsidRDefault="00660D79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0D79" w:rsidRDefault="00660D79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D79"/>
    <w:rsid w:val="002525B2"/>
    <w:rsid w:val="00660D79"/>
    <w:rsid w:val="00866D39"/>
    <w:rsid w:val="00B51377"/>
    <w:rsid w:val="00EF0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9EF544-B698-4B5A-81E7-8BB98FC1C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uiPriority w:val="9"/>
    <w:qFormat/>
    <w:pPr>
      <w:outlineLvl w:val="0"/>
    </w:pPr>
    <w:rPr>
      <w:rFonts w:ascii="Arial" w:eastAsia="Arial" w:hAnsi="Arial" w:cs="Arial"/>
      <w:sz w:val="40"/>
    </w:rPr>
  </w:style>
  <w:style w:type="paragraph" w:styleId="2">
    <w:name w:val="heading 2"/>
    <w:basedOn w:val="a"/>
    <w:uiPriority w:val="9"/>
    <w:semiHidden/>
    <w:unhideWhenUsed/>
    <w:qFormat/>
    <w:pPr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iPriority w:val="9"/>
    <w:semiHidden/>
    <w:unhideWhenUsed/>
    <w:qFormat/>
    <w:pPr>
      <w:outlineLvl w:val="2"/>
    </w:pPr>
    <w:rPr>
      <w:rFonts w:ascii="Arial" w:eastAsia="Arial" w:hAnsi="Arial" w:cs="Arial"/>
      <w:sz w:val="30"/>
    </w:rPr>
  </w:style>
  <w:style w:type="paragraph" w:styleId="4">
    <w:name w:val="heading 4"/>
    <w:basedOn w:val="a"/>
    <w:uiPriority w:val="9"/>
    <w:semiHidden/>
    <w:unhideWhenUsed/>
    <w:qFormat/>
    <w:pPr>
      <w:outlineLvl w:val="3"/>
    </w:pPr>
    <w:rPr>
      <w:rFonts w:ascii="Arial" w:eastAsia="Arial" w:hAnsi="Arial" w:cs="Arial"/>
      <w:b/>
      <w:sz w:val="26"/>
    </w:rPr>
  </w:style>
  <w:style w:type="paragraph" w:styleId="5">
    <w:name w:val="heading 5"/>
    <w:basedOn w:val="a"/>
    <w:uiPriority w:val="9"/>
    <w:semiHidden/>
    <w:unhideWhenUsed/>
    <w:qFormat/>
    <w:pPr>
      <w:outlineLvl w:val="4"/>
    </w:pPr>
    <w:rPr>
      <w:rFonts w:ascii="Arial" w:eastAsia="Arial" w:hAnsi="Arial" w:cs="Arial"/>
      <w:b/>
      <w:sz w:val="24"/>
    </w:rPr>
  </w:style>
  <w:style w:type="paragraph" w:styleId="6">
    <w:name w:val="heading 6"/>
    <w:basedOn w:val="a"/>
    <w:uiPriority w:val="9"/>
    <w:semiHidden/>
    <w:unhideWhenUsed/>
    <w:qFormat/>
    <w:pPr>
      <w:outlineLvl w:val="5"/>
    </w:pPr>
    <w:rPr>
      <w:rFonts w:ascii="Arial" w:eastAsia="Arial" w:hAnsi="Arial" w:cs="Arial"/>
      <w:b/>
    </w:rPr>
  </w:style>
  <w:style w:type="paragraph" w:styleId="7">
    <w:name w:val="heading 7"/>
    <w:basedOn w:val="a"/>
    <w:pPr>
      <w:outlineLvl w:val="6"/>
    </w:pPr>
    <w:rPr>
      <w:rFonts w:ascii="Arial" w:eastAsia="Arial" w:hAnsi="Arial" w:cs="Arial"/>
      <w:b/>
      <w:i/>
    </w:rPr>
  </w:style>
  <w:style w:type="paragraph" w:styleId="8">
    <w:name w:val="heading 8"/>
    <w:basedOn w:val="a"/>
    <w:pPr>
      <w:outlineLvl w:val="7"/>
    </w:pPr>
    <w:rPr>
      <w:rFonts w:ascii="Arial" w:eastAsia="Arial" w:hAnsi="Arial" w:cs="Arial"/>
      <w:i/>
    </w:rPr>
  </w:style>
  <w:style w:type="paragraph" w:styleId="9">
    <w:name w:val="heading 9"/>
    <w:basedOn w:val="a"/>
    <w:pPr>
      <w:outlineLvl w:val="8"/>
    </w:pPr>
    <w:rPr>
      <w:rFonts w:ascii="Arial" w:eastAsia="Arial" w:hAnsi="Arial" w:cs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0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0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customStyle="1" w:styleId="DStyleparagraph">
    <w:name w:val="DStyle_paragraph"/>
  </w:style>
  <w:style w:type="character" w:customStyle="1" w:styleId="DStyletext">
    <w:name w:val="DStyle_text"/>
    <w:rPr>
      <w:rFonts w:ascii="Calibri" w:eastAsia="Calibri" w:hAnsi="Calibri" w:cs="Calibri"/>
      <w:sz w:val="22"/>
      <w:lang w:val="ru-RU"/>
    </w:rPr>
  </w:style>
  <w:style w:type="character" w:customStyle="1" w:styleId="Heading1Char">
    <w:name w:val="Heading 1 Char"/>
    <w:basedOn w:val="a0"/>
    <w:rPr>
      <w:rFonts w:ascii="Arial" w:eastAsia="Arial" w:hAnsi="Arial" w:cs="Arial"/>
      <w:sz w:val="40"/>
    </w:rPr>
  </w:style>
  <w:style w:type="character" w:customStyle="1" w:styleId="Heading2Char">
    <w:name w:val="Heading 2 Char"/>
    <w:basedOn w:val="a0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rPr>
      <w:rFonts w:ascii="Arial" w:eastAsia="Arial" w:hAnsi="Arial" w:cs="Arial"/>
      <w:sz w:val="30"/>
    </w:rPr>
  </w:style>
  <w:style w:type="character" w:customStyle="1" w:styleId="Heading4Char">
    <w:name w:val="Heading 4 Char"/>
    <w:basedOn w:val="a0"/>
    <w:rPr>
      <w:rFonts w:ascii="Arial" w:eastAsia="Arial" w:hAnsi="Arial" w:cs="Arial"/>
      <w:b/>
      <w:sz w:val="26"/>
    </w:rPr>
  </w:style>
  <w:style w:type="character" w:customStyle="1" w:styleId="Heading5Char">
    <w:name w:val="Heading 5 Char"/>
    <w:basedOn w:val="a0"/>
    <w:rPr>
      <w:rFonts w:ascii="Arial" w:eastAsia="Arial" w:hAnsi="Arial" w:cs="Arial"/>
      <w:b/>
      <w:sz w:val="24"/>
    </w:rPr>
  </w:style>
  <w:style w:type="character" w:customStyle="1" w:styleId="Heading6Char">
    <w:name w:val="Heading 6 Char"/>
    <w:basedOn w:val="a0"/>
    <w:rPr>
      <w:rFonts w:ascii="Arial" w:eastAsia="Arial" w:hAnsi="Arial" w:cs="Arial"/>
      <w:b/>
      <w:sz w:val="22"/>
    </w:rPr>
  </w:style>
  <w:style w:type="character" w:customStyle="1" w:styleId="Heading7Char">
    <w:name w:val="Heading 7 Char"/>
    <w:basedOn w:val="a0"/>
    <w:rPr>
      <w:rFonts w:ascii="Arial" w:eastAsia="Arial" w:hAnsi="Arial" w:cs="Arial"/>
      <w:b/>
      <w:i/>
      <w:sz w:val="22"/>
    </w:rPr>
  </w:style>
  <w:style w:type="character" w:customStyle="1" w:styleId="Heading8Char">
    <w:name w:val="Heading 8 Char"/>
    <w:basedOn w:val="a0"/>
    <w:rPr>
      <w:rFonts w:ascii="Arial" w:eastAsia="Arial" w:hAnsi="Arial" w:cs="Arial"/>
      <w:i/>
      <w:sz w:val="22"/>
    </w:rPr>
  </w:style>
  <w:style w:type="character" w:customStyle="1" w:styleId="Heading9Char">
    <w:name w:val="Heading 9 Char"/>
    <w:basedOn w:val="a0"/>
    <w:rPr>
      <w:rFonts w:ascii="Arial" w:eastAsia="Arial" w:hAnsi="Arial" w:cs="Arial"/>
      <w:i/>
      <w:sz w:val="21"/>
    </w:rPr>
  </w:style>
  <w:style w:type="paragraph" w:styleId="a4">
    <w:name w:val="List Paragraph"/>
    <w:basedOn w:val="a"/>
    <w:pPr>
      <w:ind w:left="720"/>
    </w:pPr>
  </w:style>
  <w:style w:type="paragraph" w:styleId="a5">
    <w:name w:val="No Spacing"/>
    <w:basedOn w:val="DStyleparagraph"/>
  </w:style>
  <w:style w:type="paragraph" w:styleId="a6">
    <w:name w:val="Title"/>
    <w:basedOn w:val="a"/>
    <w:uiPriority w:val="10"/>
    <w:qFormat/>
    <w:rPr>
      <w:sz w:val="48"/>
    </w:rPr>
  </w:style>
  <w:style w:type="character" w:customStyle="1" w:styleId="TitleChar">
    <w:name w:val="Title Char"/>
    <w:basedOn w:val="a0"/>
    <w:rPr>
      <w:sz w:val="48"/>
    </w:rPr>
  </w:style>
  <w:style w:type="paragraph" w:styleId="a7">
    <w:name w:val="Subtitle"/>
    <w:basedOn w:val="a"/>
    <w:uiPriority w:val="11"/>
    <w:qFormat/>
    <w:rPr>
      <w:sz w:val="24"/>
    </w:rPr>
  </w:style>
  <w:style w:type="character" w:customStyle="1" w:styleId="SubtitleChar">
    <w:name w:val="Subtitle Char"/>
    <w:basedOn w:val="a0"/>
    <w:rPr>
      <w:sz w:val="24"/>
    </w:rPr>
  </w:style>
  <w:style w:type="paragraph" w:styleId="21">
    <w:name w:val="Quote"/>
    <w:basedOn w:val="a"/>
    <w:rPr>
      <w:i/>
    </w:rPr>
  </w:style>
  <w:style w:type="character" w:customStyle="1" w:styleId="QuoteChar">
    <w:name w:val="Quote Char"/>
    <w:rPr>
      <w:i/>
    </w:rPr>
  </w:style>
  <w:style w:type="paragraph" w:styleId="a8">
    <w:name w:val="Intense Quote"/>
    <w:basedOn w:val="a"/>
    <w:rPr>
      <w:i/>
    </w:rPr>
  </w:style>
  <w:style w:type="character" w:customStyle="1" w:styleId="IntenseQuoteChar">
    <w:name w:val="Intense Quote Char"/>
    <w:rPr>
      <w:i/>
    </w:rPr>
  </w:style>
  <w:style w:type="paragraph" w:styleId="a9">
    <w:name w:val="header"/>
    <w:basedOn w:val="a"/>
    <w:pPr>
      <w:tabs>
        <w:tab w:val="center" w:pos="7143"/>
        <w:tab w:val="right" w:pos="14287"/>
      </w:tabs>
    </w:pPr>
  </w:style>
  <w:style w:type="character" w:customStyle="1" w:styleId="HeaderChar">
    <w:name w:val="Header Char"/>
    <w:basedOn w:val="a0"/>
  </w:style>
  <w:style w:type="paragraph" w:styleId="aa">
    <w:name w:val="footer"/>
    <w:basedOn w:val="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</w:style>
  <w:style w:type="paragraph" w:styleId="ab">
    <w:name w:val="caption"/>
    <w:basedOn w:val="a"/>
    <w:rPr>
      <w:b/>
      <w:color w:val="4F81BD"/>
      <w:sz w:val="18"/>
    </w:rPr>
  </w:style>
  <w:style w:type="character" w:customStyle="1" w:styleId="CaptionChar">
    <w:name w:val="Caption Char"/>
  </w:style>
  <w:style w:type="character" w:styleId="ac">
    <w:name w:val="Hyperlink"/>
    <w:rPr>
      <w:color w:val="0000FF"/>
      <w:u w:val="single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Internetlink0">
    <w:name w:val="Internet link"/>
    <w:rPr>
      <w:color w:val="0000FF"/>
      <w:u w:val="single"/>
    </w:rPr>
  </w:style>
  <w:style w:type="paragraph" w:styleId="ad">
    <w:name w:val="footnote text"/>
    <w:basedOn w:val="a"/>
    <w:rPr>
      <w:sz w:val="18"/>
    </w:rPr>
  </w:style>
  <w:style w:type="character" w:customStyle="1" w:styleId="FootnoteTextChar">
    <w:name w:val="Footnote Text Char"/>
    <w:rPr>
      <w:sz w:val="18"/>
    </w:rPr>
  </w:style>
  <w:style w:type="character" w:styleId="ae">
    <w:name w:val="footnote reference"/>
    <w:basedOn w:val="a0"/>
    <w:rPr>
      <w:position w:val="0"/>
      <w:vertAlign w:val="superscript"/>
    </w:rPr>
  </w:style>
  <w:style w:type="paragraph" w:styleId="af">
    <w:name w:val="endnote text"/>
    <w:basedOn w:val="a"/>
    <w:rPr>
      <w:sz w:val="20"/>
    </w:rPr>
  </w:style>
  <w:style w:type="character" w:customStyle="1" w:styleId="EndnoteTextChar">
    <w:name w:val="Endnote Text Char"/>
    <w:rPr>
      <w:sz w:val="20"/>
    </w:rPr>
  </w:style>
  <w:style w:type="character" w:styleId="af0">
    <w:name w:val="endnote reference"/>
    <w:basedOn w:val="a0"/>
    <w:rPr>
      <w:position w:val="0"/>
      <w:vertAlign w:val="superscript"/>
    </w:rPr>
  </w:style>
  <w:style w:type="paragraph" w:styleId="11">
    <w:name w:val="toc 1"/>
    <w:basedOn w:val="a"/>
    <w:pPr>
      <w:spacing w:after="57"/>
    </w:pPr>
  </w:style>
  <w:style w:type="paragraph" w:styleId="22">
    <w:name w:val="toc 2"/>
    <w:basedOn w:val="a"/>
    <w:pPr>
      <w:spacing w:after="57"/>
      <w:ind w:left="283"/>
    </w:pPr>
  </w:style>
  <w:style w:type="paragraph" w:styleId="31">
    <w:name w:val="toc 3"/>
    <w:basedOn w:val="a"/>
    <w:pPr>
      <w:spacing w:after="57"/>
      <w:ind w:left="567"/>
    </w:pPr>
  </w:style>
  <w:style w:type="paragraph" w:styleId="41">
    <w:name w:val="toc 4"/>
    <w:basedOn w:val="a"/>
    <w:pPr>
      <w:spacing w:after="57"/>
      <w:ind w:left="850"/>
    </w:pPr>
  </w:style>
  <w:style w:type="paragraph" w:styleId="51">
    <w:name w:val="toc 5"/>
    <w:basedOn w:val="a"/>
    <w:pPr>
      <w:spacing w:after="57"/>
      <w:ind w:left="1134"/>
    </w:pPr>
  </w:style>
  <w:style w:type="paragraph" w:styleId="60">
    <w:name w:val="toc 6"/>
    <w:basedOn w:val="a"/>
    <w:pPr>
      <w:spacing w:after="57"/>
      <w:ind w:left="1417"/>
    </w:pPr>
  </w:style>
  <w:style w:type="paragraph" w:styleId="70">
    <w:name w:val="toc 7"/>
    <w:basedOn w:val="a"/>
    <w:pPr>
      <w:spacing w:after="57"/>
      <w:ind w:left="1701"/>
    </w:pPr>
  </w:style>
  <w:style w:type="paragraph" w:styleId="80">
    <w:name w:val="toc 8"/>
    <w:basedOn w:val="a"/>
    <w:pPr>
      <w:spacing w:after="57"/>
      <w:ind w:left="1984"/>
    </w:pPr>
  </w:style>
  <w:style w:type="paragraph" w:styleId="90">
    <w:name w:val="toc 9"/>
    <w:basedOn w:val="a"/>
    <w:pPr>
      <w:spacing w:after="57"/>
      <w:ind w:left="2268"/>
    </w:pPr>
  </w:style>
  <w:style w:type="paragraph" w:styleId="af1">
    <w:name w:val="TOC Heading"/>
    <w:basedOn w:val="DStyleparagraph"/>
  </w:style>
  <w:style w:type="paragraph" w:styleId="af2">
    <w:name w:val="table of figures"/>
    <w:basedOn w:val="a"/>
  </w:style>
  <w:style w:type="paragraph" w:customStyle="1" w:styleId="DStyleparagraph0">
    <w:name w:val="DStyle_paragraph"/>
    <w:basedOn w:val="DStyleparagraph"/>
  </w:style>
  <w:style w:type="character" w:customStyle="1" w:styleId="DStyletext0">
    <w:name w:val="DStyle_text"/>
    <w:rPr>
      <w:rFonts w:ascii="Calibri" w:eastAsia="Calibri" w:hAnsi="Calibri" w:cs="Calibri"/>
      <w:sz w:val="22"/>
      <w:lang w:val="ru-RU"/>
    </w:rPr>
  </w:style>
  <w:style w:type="paragraph" w:customStyle="1" w:styleId="docdata">
    <w:name w:val="docdata"/>
    <w:basedOn w:val="a"/>
    <w:rPr>
      <w:rFonts w:ascii="Times New Roman" w:eastAsia="Times New Roman" w:hAnsi="Times New Roman" w:cs="Times New Roman"/>
      <w:sz w:val="24"/>
    </w:rPr>
  </w:style>
  <w:style w:type="paragraph" w:styleId="af3">
    <w:name w:val="Normal (Web)"/>
    <w:basedOn w:val="a"/>
    <w:rPr>
      <w:rFonts w:ascii="Times New Roman" w:eastAsia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377DA3-8F28-4E1F-8B35-B88033314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1301</Words>
  <Characters>7417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Филина Елизавета Олеговна</dc:creator>
  <cp:lastModifiedBy>Иванова Валентина Игоревна</cp:lastModifiedBy>
  <cp:revision>2</cp:revision>
  <dcterms:created xsi:type="dcterms:W3CDTF">2024-02-13T11:59:00Z</dcterms:created>
  <dcterms:modified xsi:type="dcterms:W3CDTF">2024-02-13T11:59:00Z</dcterms:modified>
</cp:coreProperties>
</file>