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B91" w:rsidRDefault="00787CA0">
      <w:pPr>
        <w:ind w:left="5664"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</w:rPr>
        <w:t>Приложение № 17</w:t>
      </w:r>
    </w:p>
    <w:p w:rsidR="00D74B91" w:rsidRDefault="00787CA0">
      <w:pPr>
        <w:ind w:left="5664"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 Единой заявке: ПУД</w:t>
      </w:r>
    </w:p>
    <w:p w:rsidR="00D74B91" w:rsidRDefault="00D74B9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4B91" w:rsidRDefault="00D74B9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4B91" w:rsidRDefault="00787CA0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Информация о полномочиях, 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ФК), для работы в подсистеме управления доходами государственной интегрированной информационной системы управления общественными финансами «Электронный бюджет» (ПУД)</w:t>
      </w:r>
    </w:p>
    <w:p w:rsidR="00D74B91" w:rsidRDefault="00787CA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 w:rsidR="00D74B91">
        <w:trPr>
          <w:trHeight w:val="948"/>
          <w:tblHeader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Описание полномочия для доступа к функции ПУД Системы Электронный бюджет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роли доступа в ПОИБ СОБИ ФК</w:t>
            </w:r>
          </w:p>
        </w:tc>
      </w:tr>
      <w:tr w:rsidR="00D74B91">
        <w:trPr>
          <w:trHeight w:val="916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Для Администраторов доходов бюджета (АДБ)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документов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ПУД_001 ЛК АДБ. Ввод данных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 документов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ПУД_002 ЛК АДБ. Согласование данных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(Руководитель, уполномоченное лицо)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ПУД_003 ЛК АДБ. Утверждение Руководитель (уполномоченное лицо)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(Главный бухгалтер уполномоченное лицо)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ПУД_004 ЛК АДБ. Утверждение Главный бухгалтер (уполномоченное лицо)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всех данных по операциям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ПУД_005 ЛК АДБ. Просмотр данных</w:t>
            </w:r>
          </w:p>
        </w:tc>
      </w:tr>
      <w:tr w:rsidR="00D74B91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Назначение замещающих сотрудников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Просмотр,</w:t>
            </w:r>
          </w:p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ПУД_007 ЛК АДБ. Назначение замещающих</w:t>
            </w:r>
          </w:p>
        </w:tc>
      </w:tr>
      <w:tr w:rsidR="00D74B91">
        <w:trPr>
          <w:trHeight w:val="693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br w:type="page" w:clear="all"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Для Финансовых органов</w:t>
            </w:r>
          </w:p>
        </w:tc>
      </w:tr>
      <w:tr w:rsidR="00D74B91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ФО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ПУД_203 Работа с документами ФО</w:t>
            </w:r>
          </w:p>
        </w:tc>
      </w:tr>
      <w:tr w:rsidR="00D74B91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АДБ Уполномоченным органом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ПУД_208. ЛС АДБ для Уполномоченного органа*</w:t>
            </w:r>
          </w:p>
        </w:tc>
      </w:tr>
      <w:tr w:rsidR="00D74B91">
        <w:trPr>
          <w:trHeight w:val="665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Для Главных администраторов доходов бюджета</w:t>
            </w:r>
          </w:p>
        </w:tc>
      </w:tr>
      <w:tr w:rsidR="00D74B91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ГАДБ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ПУД_204 ЛК ГАДБ. Просмотр данных</w:t>
            </w:r>
          </w:p>
        </w:tc>
      </w:tr>
    </w:tbl>
    <w:p w:rsidR="00D74B91" w:rsidRDefault="00787CA0">
      <w:r>
        <w:br w:type="page" w:clear="all"/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 w:rsidR="00D74B91">
        <w:trPr>
          <w:trHeight w:val="1174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Для Территориальных органов Федерального казначейства (ТОФК),</w:t>
            </w:r>
          </w:p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Межрегионального операционного управления Федерального казначейства,</w:t>
            </w:r>
          </w:p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ФКУ «ЦОКР»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Обработка документов АДБ, ФО, ТОФК, просмотр справочников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ПУД_101 ЛК ТОФК. Работа с документами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 документов АДБ, ФО,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Согласование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ПУД_102 ЛК ТОФК. Согласование данных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(Руководитель, уполномоченное лицо) АДБ, ФО,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ПУД_103 ЛК ТОФК. Утверждение данных Руководитель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(Главный бухгалтер уполномоченное лицо) АДБ, ФО, ТОФК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ПУД_104 ЛК ТОФК. Утверждение данных Главный бухгалтер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централизованными и локальными справочниками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ПУД_105 ЛК ТОФК. Работа со справочниками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выпиской по КС, классификация, учет и распределение поступлений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ПУД_106 ЛК ТОФК. Работа с Выпиской по КС</w:t>
            </w:r>
          </w:p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ПУД_107 ЛК ТОФК. Распределение и перерасчет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отчетов по операциям для АДБ, ФО, ГАДБ,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ПУД_108 ЛК ТОФК. Работа с отчетами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документов АДБ, ФО, ТОФК, просмотр справочников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ПУД_109 ЛК ТОФК. Просмотр данных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Техническая поддержка ТОФК (ОТО/ОИС)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ПУД_110 ЛК ТОФК. Администратор технической поддержки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Сопровождение/консультация АДБ, ФО, ГАДБ сотрудником ТОФК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ПУД_111 ЛК ТОФК. Сопровождение АДБ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Управление операционным днем (закрытие ОД ТОФК)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ПУД_112 ЛК ТОФК. Управление ОД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Назначение замещающих для осуществления операций ТОФК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Просмотр,</w:t>
            </w:r>
          </w:p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ПУД_113 ЛК ТОФК. Назначение замещающих</w:t>
            </w:r>
          </w:p>
        </w:tc>
      </w:tr>
      <w:tr w:rsidR="00D74B91">
        <w:trPr>
          <w:trHeight w:val="101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Выполнений регламентированных функций по операциям ТОФК по иным казначейским счетам (ОР, ОКОИБ, ОБУИО)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ПУД_114 ЛК ТОФК. Иные функции</w:t>
            </w:r>
          </w:p>
        </w:tc>
      </w:tr>
      <w:tr w:rsidR="00D74B91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Для Межрегионального операционного управления Федерального казначейства</w:t>
            </w:r>
          </w:p>
        </w:tc>
      </w:tr>
      <w:tr w:rsidR="00D74B91">
        <w:trPr>
          <w:trHeight w:val="100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 с централизованными и локальными справочниками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ПУД_205 ЛК МОУ. Администратор справочников</w:t>
            </w:r>
          </w:p>
        </w:tc>
      </w:tr>
      <w:tr w:rsidR="00D74B91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Для Управления Федерального казначейства по Свердловской области, </w:t>
            </w:r>
          </w:p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уполномоченного на работу с операционными днями ПУД</w:t>
            </w:r>
          </w:p>
        </w:tc>
      </w:tr>
      <w:tr w:rsidR="00D74B91">
        <w:trPr>
          <w:trHeight w:val="100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Управление операционным днем ПУД (открытие, закрытие ОД ПУД, открытие ОД ТОФК)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ПУД_206. Управление ОД системы</w:t>
            </w:r>
          </w:p>
        </w:tc>
      </w:tr>
      <w:tr w:rsidR="00D74B91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Специальные полномочия ПУД</w:t>
            </w:r>
            <w:r>
              <w:rPr>
                <w:rStyle w:val="ae"/>
                <w:rFonts w:ascii="Times New Roman" w:eastAsia="Times New Roman" w:hAnsi="Times New Roman" w:cs="Times New Roman"/>
                <w:b/>
                <w:color w:val="000000"/>
              </w:rPr>
              <w:footnoteReference w:id="1"/>
            </w:r>
          </w:p>
        </w:tc>
      </w:tr>
      <w:tr w:rsidR="00D74B91">
        <w:trPr>
          <w:trHeight w:val="100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всех данных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B91" w:rsidRDefault="00787CA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ПУД_201 ФК. Просмотр всех данных</w:t>
            </w:r>
          </w:p>
        </w:tc>
      </w:tr>
    </w:tbl>
    <w:p w:rsidR="00D74B91" w:rsidRDefault="00D74B91"/>
    <w:p w:rsidR="00D74B91" w:rsidRDefault="00787CA0">
      <w:r>
        <w:t>* - добавлено в текущей версии</w:t>
      </w:r>
    </w:p>
    <w:p w:rsidR="00D74B91" w:rsidRDefault="00D74B91"/>
    <w:sectPr w:rsidR="00D74B91">
      <w:head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B91" w:rsidRDefault="00787CA0">
      <w:r>
        <w:separator/>
      </w:r>
    </w:p>
  </w:endnote>
  <w:endnote w:type="continuationSeparator" w:id="0">
    <w:p w:rsidR="00D74B91" w:rsidRDefault="0078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B91" w:rsidRDefault="00787CA0">
      <w:r>
        <w:separator/>
      </w:r>
    </w:p>
  </w:footnote>
  <w:footnote w:type="continuationSeparator" w:id="0">
    <w:p w:rsidR="00D74B91" w:rsidRDefault="00787CA0">
      <w:r>
        <w:continuationSeparator/>
      </w:r>
    </w:p>
  </w:footnote>
  <w:footnote w:id="1">
    <w:p w:rsidR="00D74B91" w:rsidRDefault="00787CA0">
      <w:pPr>
        <w:pStyle w:val="ad"/>
      </w:pPr>
      <w:r>
        <w:rPr>
          <w:rStyle w:val="ae"/>
        </w:rPr>
        <w:footnoteRef/>
      </w:r>
      <w: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>Назначаются по специальным указаниям Центрального аппарата Федерального казначейства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B91" w:rsidRDefault="00787CA0">
    <w:pPr>
      <w:pStyle w:val="a9"/>
      <w:jc w:val="right"/>
    </w:pPr>
    <w:r>
      <w:rPr>
        <w:sz w:val="16"/>
        <w:szCs w:val="16"/>
      </w:rPr>
      <w:t>Май 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F402F"/>
    <w:multiLevelType w:val="hybridMultilevel"/>
    <w:tmpl w:val="09764BE0"/>
    <w:lvl w:ilvl="0" w:tplc="1DA007AA">
      <w:start w:val="1"/>
      <w:numFmt w:val="decimal"/>
      <w:lvlText w:val="%1."/>
      <w:lvlJc w:val="left"/>
      <w:pPr>
        <w:ind w:left="720" w:hanging="360"/>
      </w:pPr>
    </w:lvl>
    <w:lvl w:ilvl="1" w:tplc="42787478">
      <w:start w:val="1"/>
      <w:numFmt w:val="lowerLetter"/>
      <w:lvlText w:val="%2."/>
      <w:lvlJc w:val="left"/>
      <w:pPr>
        <w:ind w:left="1440" w:hanging="360"/>
      </w:pPr>
    </w:lvl>
    <w:lvl w:ilvl="2" w:tplc="A0F8F508">
      <w:start w:val="1"/>
      <w:numFmt w:val="lowerRoman"/>
      <w:lvlText w:val="%3."/>
      <w:lvlJc w:val="right"/>
      <w:pPr>
        <w:ind w:left="2160" w:hanging="180"/>
      </w:pPr>
    </w:lvl>
    <w:lvl w:ilvl="3" w:tplc="FB5A34E6">
      <w:start w:val="1"/>
      <w:numFmt w:val="decimal"/>
      <w:lvlText w:val="%4."/>
      <w:lvlJc w:val="left"/>
      <w:pPr>
        <w:ind w:left="2880" w:hanging="360"/>
      </w:pPr>
    </w:lvl>
    <w:lvl w:ilvl="4" w:tplc="DAB265EC">
      <w:start w:val="1"/>
      <w:numFmt w:val="lowerLetter"/>
      <w:lvlText w:val="%5."/>
      <w:lvlJc w:val="left"/>
      <w:pPr>
        <w:ind w:left="3600" w:hanging="360"/>
      </w:pPr>
    </w:lvl>
    <w:lvl w:ilvl="5" w:tplc="67E40A1C">
      <w:start w:val="1"/>
      <w:numFmt w:val="lowerRoman"/>
      <w:lvlText w:val="%6."/>
      <w:lvlJc w:val="right"/>
      <w:pPr>
        <w:ind w:left="4320" w:hanging="180"/>
      </w:pPr>
    </w:lvl>
    <w:lvl w:ilvl="6" w:tplc="178EEB46">
      <w:start w:val="1"/>
      <w:numFmt w:val="decimal"/>
      <w:lvlText w:val="%7."/>
      <w:lvlJc w:val="left"/>
      <w:pPr>
        <w:ind w:left="5040" w:hanging="360"/>
      </w:pPr>
    </w:lvl>
    <w:lvl w:ilvl="7" w:tplc="72A0F4FE">
      <w:start w:val="1"/>
      <w:numFmt w:val="lowerLetter"/>
      <w:lvlText w:val="%8."/>
      <w:lvlJc w:val="left"/>
      <w:pPr>
        <w:ind w:left="5760" w:hanging="360"/>
      </w:pPr>
    </w:lvl>
    <w:lvl w:ilvl="8" w:tplc="76AC41A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C02E3"/>
    <w:multiLevelType w:val="hybridMultilevel"/>
    <w:tmpl w:val="EF8EB958"/>
    <w:lvl w:ilvl="0" w:tplc="02780DB6">
      <w:start w:val="1"/>
      <w:numFmt w:val="decimal"/>
      <w:lvlText w:val="%1."/>
      <w:lvlJc w:val="left"/>
      <w:pPr>
        <w:ind w:left="720" w:hanging="360"/>
      </w:pPr>
    </w:lvl>
    <w:lvl w:ilvl="1" w:tplc="85BC0EEA">
      <w:start w:val="1"/>
      <w:numFmt w:val="lowerLetter"/>
      <w:lvlText w:val="%2."/>
      <w:lvlJc w:val="left"/>
      <w:pPr>
        <w:ind w:left="1440" w:hanging="360"/>
      </w:pPr>
    </w:lvl>
    <w:lvl w:ilvl="2" w:tplc="A928E8AA">
      <w:start w:val="1"/>
      <w:numFmt w:val="lowerRoman"/>
      <w:lvlText w:val="%3."/>
      <w:lvlJc w:val="right"/>
      <w:pPr>
        <w:ind w:left="2160" w:hanging="180"/>
      </w:pPr>
    </w:lvl>
    <w:lvl w:ilvl="3" w:tplc="876E1A3C">
      <w:start w:val="1"/>
      <w:numFmt w:val="decimal"/>
      <w:lvlText w:val="%4."/>
      <w:lvlJc w:val="left"/>
      <w:pPr>
        <w:ind w:left="2880" w:hanging="360"/>
      </w:pPr>
    </w:lvl>
    <w:lvl w:ilvl="4" w:tplc="CE4A6E7A">
      <w:start w:val="1"/>
      <w:numFmt w:val="lowerLetter"/>
      <w:lvlText w:val="%5."/>
      <w:lvlJc w:val="left"/>
      <w:pPr>
        <w:ind w:left="3600" w:hanging="360"/>
      </w:pPr>
    </w:lvl>
    <w:lvl w:ilvl="5" w:tplc="A5CE75E0">
      <w:start w:val="1"/>
      <w:numFmt w:val="lowerRoman"/>
      <w:lvlText w:val="%6."/>
      <w:lvlJc w:val="right"/>
      <w:pPr>
        <w:ind w:left="4320" w:hanging="180"/>
      </w:pPr>
    </w:lvl>
    <w:lvl w:ilvl="6" w:tplc="919C8956">
      <w:start w:val="1"/>
      <w:numFmt w:val="decimal"/>
      <w:lvlText w:val="%7."/>
      <w:lvlJc w:val="left"/>
      <w:pPr>
        <w:ind w:left="5040" w:hanging="360"/>
      </w:pPr>
    </w:lvl>
    <w:lvl w:ilvl="7" w:tplc="0EBCC606">
      <w:start w:val="1"/>
      <w:numFmt w:val="lowerLetter"/>
      <w:lvlText w:val="%8."/>
      <w:lvlJc w:val="left"/>
      <w:pPr>
        <w:ind w:left="5760" w:hanging="360"/>
      </w:pPr>
    </w:lvl>
    <w:lvl w:ilvl="8" w:tplc="77B85D0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91"/>
    <w:rsid w:val="00787CA0"/>
    <w:rsid w:val="007965B7"/>
    <w:rsid w:val="00D74B91"/>
    <w:rsid w:val="00D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0B37C-B42B-44CB-9A46-CE6E1435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4">
    <w:name w:val="List Paragraph"/>
    <w:basedOn w:val="a"/>
    <w:pPr>
      <w:ind w:left="720"/>
    </w:pPr>
  </w:style>
  <w:style w:type="paragraph" w:styleId="a5">
    <w:name w:val="No Spacing"/>
    <w:basedOn w:val="DStyleparagraph"/>
  </w:style>
  <w:style w:type="paragraph" w:styleId="a6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7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1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8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9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a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b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c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d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e">
    <w:name w:val="footnote reference"/>
    <w:basedOn w:val="a0"/>
    <w:rPr>
      <w:position w:val="0"/>
      <w:vertAlign w:val="superscript"/>
    </w:rPr>
  </w:style>
  <w:style w:type="paragraph" w:styleId="af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0">
    <w:name w:val="endnote reference"/>
    <w:basedOn w:val="a0"/>
    <w:rPr>
      <w:position w:val="0"/>
      <w:vertAlign w:val="superscript"/>
    </w:rPr>
  </w:style>
  <w:style w:type="paragraph" w:styleId="11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1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1">
    <w:name w:val="TOC Heading"/>
    <w:basedOn w:val="DStyleparagraph"/>
  </w:style>
  <w:style w:type="paragraph" w:styleId="af2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3">
    <w:name w:val="Normal (Web)"/>
    <w:basedOn w:val="a"/>
    <w:rPr>
      <w:rFonts w:ascii="Times New Roman" w:eastAsia="Times New Roman" w:hAnsi="Times New Roman" w:cs="Times New Roman"/>
      <w:sz w:val="24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B67C0-6231-4111-96DC-21657E37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Грищенкова Марина Александровна</cp:lastModifiedBy>
  <cp:revision>2</cp:revision>
  <dcterms:created xsi:type="dcterms:W3CDTF">2025-09-09T08:10:00Z</dcterms:created>
  <dcterms:modified xsi:type="dcterms:W3CDTF">2025-09-09T08:10:00Z</dcterms:modified>
</cp:coreProperties>
</file>