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результатах проверок в Управлении</w:t>
      </w:r>
      <w:r>
        <w:rPr>
          <w:b/>
          <w:sz w:val="28"/>
          <w:szCs w:val="28"/>
        </w:rPr>
        <w:t xml:space="preserve"> Федерального казначейства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Московской области </w:t>
      </w:r>
      <w:r>
        <w:rPr>
          <w:b/>
          <w:sz w:val="28"/>
          <w:szCs w:val="28"/>
        </w:rPr>
        <w:t xml:space="preserve">контрольными и надзорными органами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«</w:t>
      </w:r>
      <w:r>
        <w:rPr>
          <w:b/>
          <w:sz w:val="28"/>
          <w:szCs w:val="28"/>
        </w:rPr>
        <w:t xml:space="preserve">0</w:t>
      </w:r>
      <w:r>
        <w:rPr>
          <w:b/>
          <w:sz w:val="28"/>
          <w:szCs w:val="28"/>
        </w:rPr>
        <w:t xml:space="preserve">1</w:t>
      </w:r>
      <w:r>
        <w:rPr>
          <w:b/>
          <w:sz w:val="28"/>
          <w:szCs w:val="28"/>
        </w:rPr>
        <w:t xml:space="preserve">»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апреля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20</w:t>
      </w:r>
      <w:r>
        <w:rPr>
          <w:b/>
          <w:sz w:val="28"/>
          <w:szCs w:val="28"/>
        </w:rPr>
        <w:t xml:space="preserve">2</w:t>
      </w:r>
      <w:r>
        <w:rPr>
          <w:b/>
          <w:sz w:val="28"/>
          <w:szCs w:val="28"/>
        </w:rPr>
        <w:t xml:space="preserve">6</w:t>
      </w:r>
      <w:r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3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1556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80"/>
        <w:gridCol w:w="2647"/>
        <w:gridCol w:w="3544"/>
        <w:gridCol w:w="1843"/>
        <w:gridCol w:w="1842"/>
        <w:gridCol w:w="2552"/>
        <w:gridCol w:w="255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0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rPr>
                <w:b/>
              </w:rPr>
            </w:pPr>
            <w:r>
              <w:rPr>
                <w:b/>
              </w:rPr>
              <w:t xml:space="preserve">№ п/п</w:t>
            </w:r>
            <w:r>
              <w:rPr>
                <w:b/>
              </w:rPr>
            </w:r>
          </w:p>
        </w:tc>
        <w:tc>
          <w:tcPr>
            <w:tcW w:w="2647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rPr>
                <w:b/>
              </w:rPr>
            </w:pPr>
            <w:r>
              <w:rPr>
                <w:b/>
              </w:rPr>
              <w:t xml:space="preserve">Наименование объекта контроля</w:t>
            </w:r>
            <w:r>
              <w:rPr>
                <w:b/>
              </w:rPr>
            </w:r>
          </w:p>
        </w:tc>
        <w:tc>
          <w:tcPr>
            <w:tcW w:w="3544" w:type="dxa"/>
            <w:vAlign w:val="top"/>
            <w:textDirection w:val="lrTb"/>
            <w:noWrap w:val="false"/>
          </w:tcPr>
          <w:p>
            <w:pPr>
              <w:pStyle w:val="634"/>
              <w:jc w:val="center"/>
            </w:pPr>
            <w:r>
              <w:rPr>
                <w:b/>
              </w:rPr>
              <w:t xml:space="preserve">Форма, метод и вид контрольного мероприятия</w:t>
            </w:r>
            <w:r>
              <w:rPr>
                <w:b/>
              </w:rPr>
            </w:r>
            <w:r/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rPr>
                <w:b/>
              </w:rPr>
            </w:pPr>
            <w:r>
              <w:rPr>
                <w:b/>
              </w:rPr>
              <w:t xml:space="preserve">Проверяемый период</w:t>
            </w:r>
            <w:r>
              <w:rPr>
                <w:b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rPr>
                <w:b/>
              </w:rPr>
            </w:pPr>
            <w:r>
              <w:rPr>
                <w:b/>
              </w:rPr>
              <w:t xml:space="preserve">Фактическое вы</w:t>
            </w:r>
            <w:r>
              <w:rPr>
                <w:b/>
              </w:rPr>
              <w:t xml:space="preserve">полнение контрольного меро</w:t>
            </w:r>
            <w:r>
              <w:rPr>
                <w:b/>
              </w:rPr>
              <w:t xml:space="preserve">приятия</w:t>
            </w:r>
            <w:r>
              <w:rPr>
                <w:b/>
              </w:rPr>
            </w:r>
          </w:p>
        </w:tc>
        <w:tc>
          <w:tcPr>
            <w:tcW w:w="2552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rPr>
                <w:b/>
              </w:rPr>
            </w:pPr>
            <w:r>
              <w:rPr>
                <w:b/>
              </w:rPr>
              <w:t xml:space="preserve">Количество выявленных нарушений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2552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rPr>
                <w:b/>
              </w:rPr>
            </w:pPr>
            <w:r>
              <w:rPr>
                <w:b/>
              </w:rPr>
              <w:t xml:space="preserve">Ответственный исполнитель (должность, фамилия И.О.)</w:t>
            </w:r>
            <w:r>
              <w:rPr>
                <w:b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0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2647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3544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4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5</w:t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2552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6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  <w:tc>
          <w:tcPr>
            <w:tcW w:w="2552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7</w: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0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2647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</w:p>
        </w:tc>
        <w:tc>
          <w:tcPr>
            <w:tcW w:w="3544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</w:p>
        </w:tc>
        <w:tc>
          <w:tcPr>
            <w:tcW w:w="2552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</w:p>
        </w:tc>
        <w:tc>
          <w:tcPr>
            <w:tcW w:w="2552" w:type="dxa"/>
            <w:vAlign w:val="top"/>
            <w:textDirection w:val="lrTb"/>
            <w:noWrap w:val="false"/>
          </w:tcPr>
          <w:p>
            <w:pPr>
              <w:pStyle w:val="6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</w:t>
            </w:r>
            <w:r>
              <w:rPr>
                <w:sz w:val="28"/>
                <w:szCs w:val="28"/>
              </w:rPr>
            </w:r>
          </w:p>
        </w:tc>
      </w:tr>
    </w:tbl>
    <w:sectPr>
      <w:headerReference w:type="default" r:id="rId8"/>
      <w:footnotePr/>
      <w:endnotePr/>
      <w:type w:val="nextPage"/>
      <w:pgSz w:w="16838" w:h="11906" w:orient="landscape"/>
      <w:pgMar w:top="1134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40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3</w:t>
    </w:r>
    <w:r>
      <w:fldChar w:fldCharType="end"/>
    </w:r>
    <w:r/>
  </w:p>
  <w:p>
    <w:pPr>
      <w:pStyle w:val="640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34"/>
    <w:next w:val="634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34"/>
    <w:next w:val="634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34"/>
    <w:next w:val="634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34"/>
    <w:next w:val="634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34"/>
    <w:next w:val="634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34"/>
    <w:next w:val="634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34"/>
    <w:next w:val="634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34"/>
    <w:next w:val="634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34"/>
    <w:next w:val="634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34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34"/>
    <w:next w:val="634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34"/>
    <w:next w:val="634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34"/>
    <w:next w:val="634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34"/>
    <w:next w:val="634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34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34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34"/>
    <w:next w:val="6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34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34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34"/>
    <w:next w:val="634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34"/>
    <w:next w:val="634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34"/>
    <w:next w:val="634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34"/>
    <w:next w:val="634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34"/>
    <w:next w:val="634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34"/>
    <w:next w:val="634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34"/>
    <w:next w:val="634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34"/>
    <w:next w:val="634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34"/>
    <w:next w:val="634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34"/>
    <w:next w:val="634"/>
    <w:uiPriority w:val="99"/>
    <w:unhideWhenUsed/>
    <w:pPr>
      <w:spacing w:after="0" w:afterAutospacing="0"/>
    </w:pPr>
  </w:style>
  <w:style w:type="paragraph" w:styleId="634" w:default="1">
    <w:name w:val="Normal"/>
    <w:next w:val="634"/>
    <w:link w:val="634"/>
    <w:qFormat/>
    <w:rPr>
      <w:sz w:val="24"/>
      <w:szCs w:val="24"/>
      <w:lang w:val="ru-RU" w:eastAsia="ru-RU" w:bidi="ar-SA"/>
    </w:rPr>
  </w:style>
  <w:style w:type="character" w:styleId="635">
    <w:name w:val="Основной шрифт абзаца"/>
    <w:next w:val="635"/>
    <w:link w:val="634"/>
    <w:semiHidden/>
  </w:style>
  <w:style w:type="table" w:styleId="636">
    <w:name w:val="Обычная таблица"/>
    <w:next w:val="636"/>
    <w:link w:val="634"/>
    <w:semiHidden/>
    <w:tblPr/>
  </w:style>
  <w:style w:type="numbering" w:styleId="637">
    <w:name w:val="Нет списка"/>
    <w:next w:val="637"/>
    <w:link w:val="634"/>
    <w:semiHidden/>
  </w:style>
  <w:style w:type="table" w:styleId="638">
    <w:name w:val="Сетка таблицы"/>
    <w:basedOn w:val="636"/>
    <w:next w:val="638"/>
    <w:link w:val="634"/>
    <w:tblPr/>
  </w:style>
  <w:style w:type="paragraph" w:styleId="639">
    <w:name w:val="Текст выноски"/>
    <w:basedOn w:val="634"/>
    <w:next w:val="639"/>
    <w:link w:val="634"/>
    <w:semiHidden/>
    <w:rPr>
      <w:rFonts w:ascii="Tahoma" w:hAnsi="Tahoma" w:cs="Tahoma"/>
      <w:sz w:val="16"/>
      <w:szCs w:val="16"/>
    </w:rPr>
  </w:style>
  <w:style w:type="paragraph" w:styleId="640">
    <w:name w:val="Верхний колонтитул"/>
    <w:basedOn w:val="634"/>
    <w:next w:val="640"/>
    <w:link w:val="641"/>
    <w:uiPriority w:val="99"/>
    <w:pPr>
      <w:tabs>
        <w:tab w:val="center" w:pos="4677" w:leader="none"/>
        <w:tab w:val="right" w:pos="9355" w:leader="none"/>
      </w:tabs>
    </w:pPr>
  </w:style>
  <w:style w:type="character" w:styleId="641">
    <w:name w:val="Верхний колонтитул Знак"/>
    <w:next w:val="641"/>
    <w:link w:val="640"/>
    <w:uiPriority w:val="99"/>
    <w:rPr>
      <w:sz w:val="24"/>
      <w:szCs w:val="24"/>
    </w:rPr>
  </w:style>
  <w:style w:type="paragraph" w:styleId="642">
    <w:name w:val="Нижний колонтитул"/>
    <w:basedOn w:val="634"/>
    <w:next w:val="642"/>
    <w:link w:val="643"/>
    <w:pPr>
      <w:tabs>
        <w:tab w:val="center" w:pos="4677" w:leader="none"/>
        <w:tab w:val="right" w:pos="9355" w:leader="none"/>
      </w:tabs>
    </w:pPr>
  </w:style>
  <w:style w:type="character" w:styleId="643">
    <w:name w:val="Нижний колонтитул Знак"/>
    <w:next w:val="643"/>
    <w:link w:val="642"/>
    <w:rPr>
      <w:sz w:val="24"/>
      <w:szCs w:val="24"/>
    </w:rPr>
  </w:style>
  <w:style w:type="character" w:styleId="909" w:default="1">
    <w:name w:val="Default Paragraph Font"/>
    <w:uiPriority w:val="1"/>
    <w:semiHidden/>
    <w:unhideWhenUsed/>
  </w:style>
  <w:style w:type="numbering" w:styleId="910" w:default="1">
    <w:name w:val="No List"/>
    <w:uiPriority w:val="99"/>
    <w:semiHidden/>
    <w:unhideWhenUsed/>
  </w:style>
  <w:style w:type="table" w:styleId="91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>УФК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</dc:title>
  <dc:creator>kr12</dc:creator>
  <cp:lastModifiedBy>Федосеева Юлия Владимировна</cp:lastModifiedBy>
  <cp:revision>7</cp:revision>
  <dcterms:created xsi:type="dcterms:W3CDTF">2026-01-12T09:33:00Z</dcterms:created>
  <dcterms:modified xsi:type="dcterms:W3CDTF">2026-03-31T11:10:36Z</dcterms:modified>
  <cp:version>983040</cp:version>
</cp:coreProperties>
</file>