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ОКЛАД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принимаемых мерах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результатах исполнения в 2025 году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Плана противодействия коррупции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Московской области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2025-2028 годы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исполнению Плана противодействия коррупции Управления Федерального казначейства по Московской области на 2025-2028 годы, утвержденного приказом Управление Федерального каз</w:t>
      </w:r>
      <w:r>
        <w:rPr>
          <w:rFonts w:ascii="Times New Roman" w:hAnsi="Times New Roman" w:cs="Times New Roman"/>
          <w:sz w:val="28"/>
          <w:szCs w:val="28"/>
        </w:rPr>
        <w:t xml:space="preserve">начейства по Московской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13 февраля </w:t>
      </w:r>
      <w:r>
        <w:rPr>
          <w:rFonts w:ascii="Times New Roman" w:hAnsi="Times New Roman" w:cs="Times New Roman"/>
          <w:sz w:val="28"/>
          <w:szCs w:val="28"/>
        </w:rPr>
        <w:t xml:space="preserve">2025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84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План, Управление)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докладываем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следующих</w:t>
      </w:r>
      <w:r>
        <w:rPr>
          <w:rFonts w:ascii="Times New Roman" w:hAnsi="Times New Roman" w:cs="Times New Roman"/>
          <w:sz w:val="28"/>
          <w:szCs w:val="28"/>
        </w:rPr>
        <w:t xml:space="preserve"> принимаемых мерах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 пункта 1.1 Плана: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ходе осуществление мониторинга и анализа соблюдения гражданскими служащими, замещавш</w:t>
      </w:r>
      <w:r>
        <w:rPr>
          <w:rFonts w:ascii="Times New Roman" w:hAnsi="Times New Roman" w:eastAsia="Calibri" w:cs="Times New Roman"/>
          <w:sz w:val="28"/>
          <w:szCs w:val="28"/>
        </w:rPr>
        <w:t xml:space="preserve">ими должности федеральной государственной гражданской службы (далее – государственная служба) в Управлении включенные в перечни, установленные нормативными правовыми актами Российской Федерации (далее - должности, связанные с коррупционными рисками), огран</w:t>
      </w:r>
      <w:r>
        <w:rPr>
          <w:rFonts w:ascii="Times New Roman" w:hAnsi="Times New Roman" w:eastAsia="Calibri" w:cs="Times New Roman"/>
          <w:sz w:val="28"/>
          <w:szCs w:val="28"/>
        </w:rPr>
        <w:t xml:space="preserve">ичений, предусмотренных статьей 12 Федерального закона от 25 декабря 2008 г. № 273-ФЗ «О противодействии коррупции» (далее – Федеральный закон № 273-ФЗ), при заключении ими после увольнения с государственной службы трудовых и гражданско-правовых договоров.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Всего по состоянию на 19 декабря 2025 г. уволилось 17 федеральных государственных гражданских служащих, должности которых вкл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ючены в Перечень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</w:t>
      </w:r>
      <w:r>
        <w:rPr>
          <w:rFonts w:ascii="Times New Roman" w:hAnsi="Times New Roman" w:eastAsia="Calibri" w:cs="Times New Roman"/>
          <w:bCs/>
          <w:sz w:val="28"/>
          <w:szCs w:val="28"/>
        </w:rPr>
        <w:br/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от 24 декабря 2021 г. № 47н (далее - Перечень), из которых 4 федеральных государственных гражданских служащих уволены в связи с достижением предельного возраста пребывания на гражданской службе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Согласно базе данных федеральной государственной информационной системы «Единая информационная система управления кадровым составом государственной гражданско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й службы Российской Федерации» Управление получало 2 запроса о передаче электронного личного дела бывших гражданских служащих, должности которых включены в Перечень, в связи с их назначением на должности гражданской службы в других государственных органах.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соответствии с требованиями части 4 статьи 12 Федерального закона </w:t>
      </w:r>
      <w:r>
        <w:rPr>
          <w:rFonts w:ascii="Times New Roman" w:hAnsi="Times New Roman" w:eastAsia="Calibri" w:cs="Times New Roman"/>
          <w:bCs/>
          <w:sz w:val="28"/>
          <w:szCs w:val="28"/>
        </w:rPr>
        <w:br/>
        <w:t xml:space="preserve">№ 273-ФЗ работодатели, трудоустроившие бывших гражданских служащих, должности которых включены в Перечень, направили в адрес Управления 4 уведомления о заключении трудового договора или гражданско-правового договора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выполнение работ (оказание услуг) (далее – уведомление о трудоустройстве). По результатам предварительного рассмотрения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Отделом государственной гражданской службы и кадров (далее 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ОГГСиК</w:t>
      </w:r>
      <w:r>
        <w:rPr>
          <w:rFonts w:ascii="Times New Roman" w:hAnsi="Times New Roman" w:eastAsia="Calibri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подгото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влены мотивировочные заключения об отсутствии ограничений, налагаемых на гражданина, замещавшего должность государственной службы, при заключении им трудового или гражданско-правового договора, рассмотрение поступивших уведомлений Комиссией не требовалось.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Всего в 2025 году в Управление поступило 45 уведомлений о трудоустройстве, включая сведения по сотрудникам, уволенным в предыдущие периоды. 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соответ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ствии с рекомендациями Министерства труда и социальной защиты Российской Федерации, изложенными в письме от 11 мая 2017 г. № 18-4/10/П-2943 «О направлении Методических рекомендаций по вопросам соблюдения ограничений, налагаемых на гражданина, замещавшего д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олжность государственной или муниципальной службы, при заключении им трудового или гражданско-правового договора с организацией» (далее – рекомендации Минтруда), по всем поступившим в Управление уведомлениям отправлены письма о результатах их рассмотрения.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целях выполнения рекомендаций Минтруда о направлении сведений об отсутствии информации о дальнейшем трудоустройстве бывших гражданских служащих Управления в органы прокуратуры, ведется мониторинг в соответствии с локальным актом, определяющим периодичност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ь, порядок проведения и реализации результатов мониторинга за трудоустройством уволившихся сотрудников. По итогам проведенного мониторинга подготовлена информация об отсутствии сведений о дальнейшем трудоустройстве 9 бывших гражданских служащих Управления.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Руководителю Управления ежеквартально, не позднее 15 рабочих дней, следующих за отчетной датой, представлялся доклад о результатах мониторинга.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 пункта 1.2 Плана: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Предусматривающего рассмотрение в установленном порядке представленных гражданскими служащими Управления уведомлений о намерении выполнять иную оплачиваемую работу (далее – уведомление об иной работе).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2025 году уведомления об иной работе представили 3 гражданских служащих Управления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Представленные уведомления в день поступления зарегистрированы в Журнале регистрации уведомл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ений об иной оплачиваемой работе</w:t>
      </w:r>
      <w:r>
        <w:rPr>
          <w:rFonts w:ascii="Times New Roman" w:hAnsi="Times New Roman" w:eastAsia="Calibri" w:cs="Times New Roman"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соответствии с Порядком уведомления пр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</w:t>
      </w:r>
      <w:r>
        <w:rPr>
          <w:rFonts w:ascii="Times New Roman" w:hAnsi="Times New Roman" w:eastAsia="Calibri" w:cs="Times New Roman"/>
          <w:sz w:val="28"/>
          <w:szCs w:val="28"/>
        </w:rPr>
        <w:t xml:space="preserve">, утвержденным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прик</w:t>
      </w:r>
      <w:r>
        <w:rPr>
          <w:rFonts w:ascii="Times New Roman" w:hAnsi="Times New Roman" w:eastAsia="Calibri" w:cs="Times New Roman"/>
          <w:sz w:val="28"/>
          <w:szCs w:val="28"/>
        </w:rPr>
        <w:t xml:space="preserve">азом Федерального казначейства </w:t>
      </w:r>
      <w:r>
        <w:rPr>
          <w:rFonts w:ascii="Times New Roman" w:hAnsi="Times New Roman" w:eastAsia="Calibri" w:cs="Times New Roman"/>
          <w:sz w:val="28"/>
          <w:szCs w:val="28"/>
        </w:rPr>
        <w:br/>
      </w:r>
      <w:r>
        <w:rPr>
          <w:rFonts w:ascii="Times New Roman" w:hAnsi="Times New Roman" w:eastAsia="Calibri" w:cs="Times New Roman"/>
          <w:sz w:val="28"/>
          <w:szCs w:val="28"/>
        </w:rPr>
        <w:t xml:space="preserve">от 27 декабря 2022 г. № 410, государственные служащие заблаговременно до начала осуществления иной оплачиваемой деятельности лично в письменной форме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уведомили представителя нанимателя. Копии уведомлений об иной работе с отметкой о регистрации выданы гражданским служащим на руки.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ходе предварительного рассмотрения уведомлений об иной работе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ОГГСиК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 выявлены признаки возмо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жного возникновения конфликта интересов. По итогам рассмотрения поступивших документов даны рекомендации о выполнении гражданскими служащими требований служебного распорядка Управления. На Комиссии поступившие уведомления об иной работе не рассматривались.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Руководителю Управления ежеквартально, в течение 5 рабочих дней представлялся доклад о результатах рассмотрения уведомлений об иной работе.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 пункта 1.3 Плана: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Проведена ревизия локальных актов Управления, а также методических материалов в сфере противодействия коррупции, по итогам которой на рассмотрение руководителю Управления представлен один проект документа, который актуализирует План.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 пункта 1.4 Плана: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Проведены следующие мероприятия по выявлению случаев возникновения конфликта интересов, одной из сторон которого являются ли</w:t>
      </w:r>
      <w:r>
        <w:rPr>
          <w:rFonts w:ascii="Times New Roman" w:hAnsi="Times New Roman" w:eastAsia="Calibri" w:cs="Times New Roman"/>
          <w:sz w:val="28"/>
          <w:szCs w:val="28"/>
        </w:rPr>
        <w:t xml:space="preserve">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состоянию на 19 декабря 2025 г. в Управлении 109 гражданских служащих замещают должности категории «руководители».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Осуществлен совокупный анализ сведений, содержащихся в: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1) документах, приобщенных к личным делам гражданских служащих;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2) уведомлениях 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б осуществлении иной оплачиваемой работы, уведомлениях о возникновении личной заинтересованности при исполнении должностных обязанностей, которая приводит или может привести к конфликту интересов, направленных гражданскими служащими Управления в 2025 года.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Выявлен случай возникновения конфликта интересов, одной из сторон которого является лицо, замещающее должность государственной службы категории «руководители», которая может привести к конфликту интересов.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соответствии с Протоколом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заседания Комиссии по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соблюдению требований к служебному поведению федеральных государственных гражданских служащих Управления Федерального казначейства по Московской области и урегулированию конфликта интересов от 5 февраля 2025 г. по результатам рассмотрения поступившего уведомления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были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рекомендованы меры по урегулированию конфликта интересов или п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 недопущению его возникновения.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Комиссию предоставлены сведения о принятых мерах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по предотвращению конфликта интересов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Так же, в связи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с наличием родственных связей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между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служащи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ми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замещаю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щими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дол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жности категории «руководители»,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рекомендова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на постоянной основе обеспечить исключение возможности возникновения личной заинтересованности при исполнении гражданскими служащими своих должностных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обязанностей (исключение из состава групп проверок и комиссий Управления).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Доклад руководителю У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представлен 20 марта 2025 г.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  <w:t xml:space="preserve">По исполнению пункта 1.5 Плана: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Комиссией на заседании, прошедшем    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             19 декабря 2025 г., рассмотрен доклад о принимаемых мерах по предупреждению коррупции, в том числе о ходе реализации мероприятий Плана. Комиссией признана эффективность и достаточность принимаемых в Управлении мер по предупреждению коррупции. 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1.6 Плана:</w:t>
      </w:r>
      <w:r>
        <w:rPr>
          <w:rFonts w:ascii="Times New Roman" w:hAnsi="Times New Roman" w:cs="Times New Roman"/>
          <w:sz w:val="28"/>
          <w:szCs w:val="28"/>
        </w:rPr>
        <w:t xml:space="preserve"> Осуществлен прием сведений о доходах, расходах, об имуществе и обязательствах имущественного характера, представляемых гражданскими служащими Управления</w:t>
      </w:r>
      <w:r>
        <w:rPr>
          <w:rFonts w:ascii="Times New Roman" w:hAnsi="Times New Roman" w:cs="Times New Roman"/>
          <w:sz w:val="28"/>
          <w:szCs w:val="28"/>
        </w:rPr>
        <w:t xml:space="preserve"> (далее - Сведения)</w:t>
      </w:r>
      <w:r>
        <w:rPr>
          <w:rFonts w:ascii="Times New Roman" w:hAnsi="Times New Roman" w:cs="Times New Roman"/>
          <w:sz w:val="28"/>
          <w:szCs w:val="28"/>
        </w:rPr>
        <w:t xml:space="preserve">. Обеспечен контроль своевременного представления указанных сведений.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гражданские служащие Управления представляли Сведения за отчетный период 2024 года по форме, утвержденной Указом Президента Российской Федерации от 23 июня 2014 г. № 460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программного комплекса Специализированное программное о</w:t>
      </w:r>
      <w:r>
        <w:rPr>
          <w:rFonts w:ascii="Times New Roman" w:hAnsi="Times New Roman" w:cs="Times New Roman"/>
          <w:sz w:val="28"/>
          <w:szCs w:val="28"/>
        </w:rPr>
        <w:t xml:space="preserve">беспечение «Справки БК» в срок </w:t>
      </w:r>
      <w:r>
        <w:rPr>
          <w:rFonts w:ascii="Times New Roman" w:hAnsi="Times New Roman" w:cs="Times New Roman"/>
          <w:sz w:val="28"/>
          <w:szCs w:val="28"/>
        </w:rPr>
        <w:t xml:space="preserve">до 30 апреля 2025 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Уточняющие С</w:t>
      </w:r>
      <w:r>
        <w:rPr>
          <w:rFonts w:ascii="Times New Roman" w:hAnsi="Times New Roman" w:cs="Times New Roman"/>
          <w:sz w:val="28"/>
          <w:szCs w:val="28"/>
        </w:rPr>
        <w:t xml:space="preserve">ведения гражданскими служащими в срок до 31 мая 2025 г.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подавались.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Фактов несвоевременного представления Сведений о доходах не установлено.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 руководителю Управления о результатах декларационной кампании представлен на рассмотрение 9 июня 2025 г.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1.7 Плана:</w:t>
      </w:r>
      <w:r>
        <w:rPr>
          <w:rFonts w:ascii="Times New Roman" w:hAnsi="Times New Roman" w:cs="Times New Roman"/>
          <w:sz w:val="28"/>
          <w:szCs w:val="28"/>
        </w:rPr>
        <w:t xml:space="preserve"> Ежегодный анализ справок о доходах, расходах, об имуществе и обязательствах имущественного характера, представленных гражданскими служащими Управления, </w:t>
      </w:r>
      <w:r>
        <w:rPr>
          <w:rFonts w:ascii="Times New Roman" w:hAnsi="Times New Roman" w:cs="Times New Roman"/>
          <w:sz w:val="28"/>
          <w:szCs w:val="28"/>
        </w:rPr>
        <w:t xml:space="preserve">выявил нарушение</w:t>
      </w:r>
      <w:r>
        <w:rPr>
          <w:rFonts w:ascii="Times New Roman" w:hAnsi="Times New Roman" w:cs="Times New Roman"/>
          <w:sz w:val="28"/>
          <w:szCs w:val="28"/>
        </w:rPr>
        <w:t xml:space="preserve"> законод</w:t>
      </w:r>
      <w:r>
        <w:rPr>
          <w:rFonts w:ascii="Times New Roman" w:hAnsi="Times New Roman" w:cs="Times New Roman"/>
          <w:sz w:val="28"/>
          <w:szCs w:val="28"/>
        </w:rPr>
        <w:t xml:space="preserve">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против</w:t>
      </w:r>
      <w:r>
        <w:rPr>
          <w:rFonts w:ascii="Times New Roman" w:hAnsi="Times New Roman" w:cs="Times New Roman"/>
          <w:sz w:val="28"/>
          <w:szCs w:val="28"/>
        </w:rPr>
        <w:t xml:space="preserve">одействии коррупции федеральным гражданским служащим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в части предостав</w:t>
      </w:r>
      <w:r>
        <w:rPr>
          <w:rFonts w:ascii="Times New Roman" w:hAnsi="Times New Roman" w:cs="Times New Roman"/>
          <w:sz w:val="28"/>
          <w:szCs w:val="28"/>
        </w:rPr>
        <w:t xml:space="preserve">ления недостоверных и неполных С</w:t>
      </w:r>
      <w:r>
        <w:rPr>
          <w:rFonts w:ascii="Times New Roman" w:hAnsi="Times New Roman" w:cs="Times New Roman"/>
          <w:sz w:val="28"/>
          <w:szCs w:val="28"/>
        </w:rPr>
        <w:t xml:space="preserve">ведений за предыдущие декларационные кампании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Аналитическая записка на имя руководителя Управления с результатами проведенного анализа представлена 28 августа 2025 г.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1.8 Плана:</w:t>
      </w:r>
      <w:r>
        <w:rPr>
          <w:rFonts w:ascii="Times New Roman" w:hAnsi="Times New Roman" w:cs="Times New Roman"/>
          <w:sz w:val="28"/>
          <w:szCs w:val="28"/>
        </w:rPr>
        <w:t xml:space="preserve"> Актуали</w:t>
      </w:r>
      <w:r>
        <w:rPr>
          <w:rFonts w:ascii="Times New Roman" w:hAnsi="Times New Roman" w:cs="Times New Roman"/>
          <w:sz w:val="28"/>
          <w:szCs w:val="28"/>
        </w:rPr>
        <w:t xml:space="preserve">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</w:t>
      </w:r>
      <w:r>
        <w:rPr>
          <w:rFonts w:ascii="Times New Roman" w:hAnsi="Times New Roman" w:cs="Times New Roman"/>
          <w:sz w:val="28"/>
          <w:szCs w:val="28"/>
        </w:rPr>
        <w:t xml:space="preserve">ответствии с Указом Президента Российской Федерации                                                     от 10 октября 2024 г. № 870 «О некоторых вопросах представления сведений при поступлении на государственную службу Российской Федерации и муниципальную </w:t>
      </w:r>
      <w:r>
        <w:rPr>
          <w:rFonts w:ascii="Times New Roman" w:hAnsi="Times New Roman" w:cs="Times New Roman"/>
          <w:sz w:val="28"/>
          <w:szCs w:val="28"/>
        </w:rPr>
        <w:t xml:space="preserve">службу в Российской Федерации и их актуализации»</w:t>
      </w:r>
      <w:r>
        <w:rPr>
          <w:rFonts w:ascii="Times New Roman" w:hAnsi="Times New Roman" w:cs="Times New Roman"/>
          <w:sz w:val="28"/>
          <w:szCs w:val="28"/>
        </w:rPr>
        <w:t xml:space="preserve"> в Управлении с октября 2024 по апрель 2025 года проведена работа по актуализации анкетных данных федеральных государственных гражданских служащих. Анкетные данные актуализированы, по результатам их анализа конфликта интересов не выявлено.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</w:rPr>
        <w:t xml:space="preserve"> пункта 1.9 Плана: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Проведение занятий по антикоррупционному просвещению гражданских служащих Управления.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В феврале 2025 г. в адрес начальников отделов Управления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ОГГСиК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направлена для изучения служебная записка от 18 февраля 2025 г. № 17-57/1903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с приложением актуальных методических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Министерства труда и социальной защиты Российской Федерации по заполнению Сведений, а также памятки.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сентябре 2025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ОГГСиК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сотрудников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Управления по средствам видео-конференц-связи проведено обучающее занятие на темы: «Выполнение гражданскими служащими иной оплачиваемой работы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 «Конфликт интересов и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способы его урегулирования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</w:rPr>
        <w:t xml:space="preserve"> пункта 1.10 Плана: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При поступлении на государственную гражданскую службу в 2025 году 31 вновь принятых гражданских служащих бы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ли ознакомлены с основными нормативными правовыми актами, регламентирующими вопросы, связанные с прохождением государственной гражданской службы, соблюдением Кодекса этики и служебного поведения, а также противодействия коррупции на государственной службе.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пункта 1.11 Плана: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Обеспечение участия гражданских служащих Управления, в должност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2025 году гражданские служащие Управления, в должностные обязанности которых входит участие в пр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отиводействии коррупции, в мероприятиях по профессиональному развитию в области противодействия коррупции участия не принимали, по причине отсутствия квоты для прохождения дополнительного профессионального образования по тематике противодействия коррупции.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пункта 1.12 Плана: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2025 году сотрудники, впервые поступившие на государственную службу в Управление, и замещающие должности, связанные с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соблюдением антикоррупционных стандартов, в мероприятиях по профессиональному развитию в области противодействия коррупции участие не принимали, по причине отсутствия квоты, для прохождения профессионального развития, по тематике противодействия коррупции.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пункта 1.13 Плана: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Проведение контроля знаний федеральных государственных гражданских служащих Управления в области законодательства Российской Федерации о противодействии коррупции.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Проведено электронное тестирование, посвященное антикоррупционному пр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освещению гражданских служащих, приуроченному к Международному дню борьбы с коррупцией в целях повышения уровня знаний федеральных государственных гражданских служащих Управления, в области законодательства Российской Федерации о противодействии коррупции.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пункта 2.1 Плана: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Проведение антикоррупционной экспертизы проектов нормативных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За период с 1 января 2024 г. по 31 декабря 2024 г. Юридическим отделом проведена право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вая экспертиза 4 609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последующего устранения таких факторов. Коррупционные факторы не выявлены.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Доклад руководителю Управления представлен в феврале 2025 года. 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пункта 2.2 Плана: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Реализация мероприятий, направленных на выявление личной заинтересованности гражданских служащих Управлени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я, которая приводит или может привести к конфликту интересов при определении потребности (изменение потребности) в товарах, работах, услугах для обеспечения нужд Управления и участие в их приемке в порядке, установленном приказом Федерального казначейства.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Обеспечен сбор и анализ сведений, представленных соответствующими начальниками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отделов, о возможной личной заинтересованности гражданских служащих Управления, участвующих в определении потребности в товарах, работах, услугах и в их приемке для обеспечения нужд Управления, который не выявил признаков наличия личной заинтересованности.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пункта 2.3 Плана: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 Проведение оценки коррупционных рисков, возникающих при реализации Управлением установленных функций и должностей, замещение которых связано с коррупционными рисками.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В связи с проведенными организационно-штатными изменениями в структуре Управления внесены изменения в Перечень коррупционных рисков.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3.1 Плана: </w:t>
      </w:r>
      <w:r>
        <w:rPr>
          <w:rFonts w:ascii="Times New Roman" w:hAnsi="Times New Roman" w:cs="Times New Roman"/>
          <w:sz w:val="28"/>
          <w:szCs w:val="28"/>
        </w:rPr>
        <w:t xml:space="preserve">Проведение мероприятий по исключению коррупционных рисков в ходе осуществления проверок при казначейском сопровождении в случаях, установленных актами Правительства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Коррупционные риски в ходе осуществления проверок при казначейском сопровождении в случаях, установленных актами Правительства Российской Федерации отсутствуют, соответствующий доклад направлен руководителю Управления 19 декабря 2025 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4.1 Плана:</w:t>
      </w:r>
      <w:r>
        <w:rPr>
          <w:rFonts w:ascii="Times New Roman" w:hAnsi="Times New Roman" w:cs="Times New Roman"/>
          <w:sz w:val="28"/>
          <w:szCs w:val="28"/>
        </w:rPr>
        <w:t xml:space="preserve"> 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Управления в информационно-телекоммуникационной сети «Интернет» в</w:t>
      </w:r>
      <w:r>
        <w:rPr>
          <w:rFonts w:ascii="Times New Roman" w:hAnsi="Times New Roman" w:cs="Times New Roman"/>
          <w:sz w:val="28"/>
          <w:szCs w:val="28"/>
        </w:rPr>
        <w:t xml:space="preserve"> разделе «Иная деятельность» ведется специализированный подраздел «Противодействие коррупции» в котором в свободном доступе размещаются и поддерживаются в актуальном состоянии нормативные правовые акты, а также справочная информация по вопросам противодейс</w:t>
      </w:r>
      <w:r>
        <w:rPr>
          <w:rFonts w:ascii="Times New Roman" w:hAnsi="Times New Roman" w:cs="Times New Roman"/>
          <w:sz w:val="28"/>
          <w:szCs w:val="28"/>
        </w:rPr>
        <w:t xml:space="preserve">твия коррупции, методические рекомендации, разъяснения к отдельным положениям федерального законодательства в сфере противодействия коррупции, формы документов, связанных с противодействием коррупции, для заполнения, информация о составе и работе Комиссии.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Управления ежегодно проводится онлайн-опрос граждан об оценке эффективности работы по противодействию коррупции в Управлении, по результатам которого получен результат, свидетельствующий о высоком уровне эффективности работы.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4.2 Плана:</w:t>
      </w:r>
      <w:r>
        <w:rPr>
          <w:rFonts w:ascii="Times New Roman" w:hAnsi="Times New Roman" w:cs="Times New Roman"/>
          <w:sz w:val="28"/>
          <w:szCs w:val="28"/>
        </w:rPr>
        <w:t xml:space="preserve"> Мониторинг и обобщение результатов рассмотрения обращений граждан и организаций по информации проявления коррупции в Управлении, представленных: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лично;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«по телефону доверия»;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электронном виде;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бумажном носителе.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получения дополнительной информации по совершенствованию деятельности Управления, а также оперативного реагирования на возможные коррупционные проявления в деятельности Управления, на официальном сайте Управления в подразделе</w:t>
      </w:r>
      <w:r>
        <w:rPr>
          <w:rFonts w:ascii="Times New Roman" w:hAnsi="Times New Roman" w:cs="Times New Roman"/>
          <w:sz w:val="28"/>
          <w:szCs w:val="28"/>
        </w:rPr>
        <w:t xml:space="preserve"> «Противодействие коррупции» размещен номер «телефона доверия», а также обеспечена возможность отправки/получения электронных сообщений. В отчетном периоде сообщений о фактах коррупции или нарушения служащими требований к служебному поведению не поступало.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Фактов получения подарков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ударственными </w:t>
      </w:r>
      <w:r>
        <w:rPr>
          <w:rFonts w:ascii="Times New Roman" w:hAnsi="Times New Roman" w:cs="Times New Roman"/>
          <w:sz w:val="28"/>
          <w:szCs w:val="28"/>
        </w:rPr>
        <w:t xml:space="preserve">служащими Управления не зарегистрировано. Нарушений запретов, касающихся получения подарков и порядка </w:t>
      </w:r>
      <w:r>
        <w:rPr>
          <w:rFonts w:ascii="Times New Roman" w:hAnsi="Times New Roman" w:cs="Times New Roman"/>
          <w:sz w:val="28"/>
          <w:szCs w:val="28"/>
        </w:rPr>
        <w:t xml:space="preserve">их сдачи не установлено.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 исполнению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пункта 4.3 Плана:</w:t>
      </w:r>
      <w:r>
        <w:rPr>
          <w:rFonts w:ascii="Times New Roman" w:hAnsi="Times New Roman" w:cs="Times New Roman"/>
          <w:sz w:val="28"/>
          <w:szCs w:val="28"/>
        </w:rPr>
        <w:t xml:space="preserve"> 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По результатам мониторинга публикаций в средствах массовой информации и в социальных сетях не выявлено фактов проявления коррупции в Управлении.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821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98813944"/>
      <w:docPartObj>
        <w:docPartGallery w:val="Page Numbers (Top of Page)"/>
        <w:docPartUnique w:val="true"/>
      </w:docPartObj>
      <w:rPr/>
    </w:sdtPr>
    <w:sdtContent>
      <w:p>
        <w:pPr>
          <w:pStyle w:val="68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8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  <w:p>
    <w:pPr>
      <w:pStyle w:val="68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9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9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79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9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9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9"/>
    <w:link w:val="683"/>
    <w:uiPriority w:val="99"/>
  </w:style>
  <w:style w:type="character" w:styleId="45">
    <w:name w:val="Footer Char"/>
    <w:basedOn w:val="679"/>
    <w:link w:val="685"/>
    <w:uiPriority w:val="99"/>
  </w:style>
  <w:style w:type="paragraph" w:styleId="46">
    <w:name w:val="Caption"/>
    <w:basedOn w:val="677"/>
    <w:next w:val="6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5"/>
    <w:uiPriority w:val="99"/>
  </w:style>
  <w:style w:type="table" w:styleId="49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9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9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paragraph" w:styleId="678">
    <w:name w:val="Heading 7"/>
    <w:basedOn w:val="677"/>
    <w:next w:val="677"/>
    <w:link w:val="6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table" w:styleId="682">
    <w:name w:val="Table Grid"/>
    <w:basedOn w:val="6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83">
    <w:name w:val="Header"/>
    <w:basedOn w:val="677"/>
    <w:link w:val="6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4" w:customStyle="1">
    <w:name w:val="Верхний колонтитул Знак"/>
    <w:basedOn w:val="679"/>
    <w:link w:val="683"/>
    <w:uiPriority w:val="99"/>
  </w:style>
  <w:style w:type="paragraph" w:styleId="685">
    <w:name w:val="Footer"/>
    <w:basedOn w:val="677"/>
    <w:link w:val="6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Нижний колонтитул Знак"/>
    <w:basedOn w:val="679"/>
    <w:link w:val="685"/>
    <w:uiPriority w:val="99"/>
  </w:style>
  <w:style w:type="paragraph" w:styleId="687">
    <w:name w:val="List Paragraph"/>
    <w:basedOn w:val="677"/>
    <w:uiPriority w:val="34"/>
    <w:qFormat/>
    <w:pPr>
      <w:contextualSpacing/>
      <w:ind w:left="720"/>
    </w:pPr>
  </w:style>
  <w:style w:type="paragraph" w:styleId="688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character" w:styleId="689">
    <w:name w:val="Hyperlink"/>
    <w:basedOn w:val="679"/>
    <w:uiPriority w:val="99"/>
    <w:semiHidden/>
    <w:unhideWhenUsed/>
    <w:rPr>
      <w:color w:val="0000ff"/>
      <w:u w:val="single"/>
    </w:rPr>
  </w:style>
  <w:style w:type="paragraph" w:styleId="690">
    <w:name w:val="Normal (Web)"/>
    <w:basedOn w:val="67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1" w:customStyle="1">
    <w:name w:val="Заголовок 7 Знак"/>
    <w:basedOn w:val="679"/>
    <w:link w:val="678"/>
    <w:uiPriority w:val="9"/>
    <w:rPr>
      <w:rFonts w:ascii="Arial" w:hAnsi="Arial" w:eastAsia="Arial" w:cs="Arial"/>
      <w:b/>
      <w:bCs/>
      <w:i/>
      <w:iCs/>
    </w:rPr>
  </w:style>
  <w:style w:type="paragraph" w:styleId="692">
    <w:name w:val="Balloon Text"/>
    <w:basedOn w:val="677"/>
    <w:link w:val="69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93" w:customStyle="1">
    <w:name w:val="Текст выноски Знак"/>
    <w:basedOn w:val="679"/>
    <w:link w:val="692"/>
    <w:uiPriority w:val="99"/>
    <w:semiHidden/>
    <w:rPr>
      <w:rFonts w:ascii="Segoe UI" w:hAnsi="Segoe UI" w:cs="Segoe UI"/>
      <w:sz w:val="18"/>
      <w:szCs w:val="18"/>
    </w:rPr>
  </w:style>
  <w:style w:type="paragraph" w:styleId="694" w:customStyle="1">
    <w:name w:val="docdata"/>
    <w:basedOn w:val="6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Парфенюк Александр Александрович</dc:creator>
  <cp:lastModifiedBy>Аноним</cp:lastModifiedBy>
  <cp:revision>42</cp:revision>
  <dcterms:created xsi:type="dcterms:W3CDTF">2024-07-18T07:01:00Z</dcterms:created>
  <dcterms:modified xsi:type="dcterms:W3CDTF">2025-12-25T09:30:08Z</dcterms:modified>
</cp:coreProperties>
</file>