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ОКЛАД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принимаемых мерах по предупреждению коррупции и о ходе реализации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мероприятий Плана противодействия коррупции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2021-2024 годы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далее - План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1.1 Плана: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ходе мониторинга и контроля исполнения гражданскими служащими Управления Федерального казначейства по Московской области (далее - Управление) обязанностей, соблюдения запретов, ограничений и требований,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нных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 в целях противодействия коррупции, а также контроля соблюдения указанными лицами этических норм и правил служебного поведения Отделом государственной гражданской службы и кадров (далее - Отдел) проведены следующие мероприятия.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Отделом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проводится работа по выявлению случаев возникновения конфликта интересов и осуществляются меры по предотвращению и урегул</w:t>
      </w:r>
      <w:r>
        <w:rPr>
          <w:rFonts w:ascii="Times New Roman" w:hAnsi="Times New Roman" w:cs="Times New Roman"/>
          <w:bCs/>
          <w:sz w:val="28"/>
          <w:szCs w:val="28"/>
        </w:rPr>
        <w:t xml:space="preserve">ированию конфликта интересов. Основными инструментами, применяемыми в этой деятельности, являются анализ сведений о доходах, расходах, об имуществе и обязательствах имущественного характера (далее – Сведения о доходах), анализ сведений, содержащихся в личн</w:t>
      </w:r>
      <w:r>
        <w:rPr>
          <w:rFonts w:ascii="Times New Roman" w:hAnsi="Times New Roman" w:cs="Times New Roman"/>
          <w:bCs/>
          <w:sz w:val="28"/>
          <w:szCs w:val="28"/>
        </w:rPr>
        <w:t xml:space="preserve">ых делах гражданских служащих, в том числе в анкетах, представленных гражданскими служащими, об их родственниках и свойственниках, уведомлений о намерении выполнять иную оплачиваемую работу и иных сведений, представленных гражданскими служащими Управления.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Анализ Сведений о доходах гражданских служащих Упра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вления и членов их семей за 2023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  <w:r>
        <w:rPr>
          <w:rFonts w:ascii="Times New Roman" w:hAnsi="Times New Roman" w:cs="Times New Roman"/>
          <w:bCs/>
          <w:sz w:val="28"/>
          <w:szCs w:val="28"/>
        </w:rPr>
        <w:t xml:space="preserve">ный год проведен в отношении 1</w:t>
      </w:r>
      <w:r>
        <w:rPr>
          <w:rFonts w:ascii="Times New Roman" w:hAnsi="Times New Roman" w:cs="Times New Roman"/>
          <w:bCs/>
          <w:sz w:val="28"/>
          <w:szCs w:val="28"/>
        </w:rPr>
        <w:t xml:space="preserve">88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гражданских служащих 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. Результаты указанного анализа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рассмотрены руководителем в установленном порядке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 не возникало оснований для проведения проверки достоверности 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полноты Сведений о доходах, представленных гражданскими служащими, и соблюдения гражданским служащим требований к служебному поведению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Проведенный анализ сведений о расходах не выявил оснований для осуществления контроля за соответствием расходов гражданского служащего Управления его доходам.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года при поступлении на гражданскую с</w:t>
      </w:r>
      <w:r>
        <w:rPr>
          <w:rFonts w:ascii="Times New Roman" w:hAnsi="Times New Roman" w:cs="Times New Roman"/>
          <w:sz w:val="28"/>
          <w:szCs w:val="28"/>
        </w:rPr>
        <w:t xml:space="preserve">лужбу </w:t>
      </w:r>
      <w:r>
        <w:rPr>
          <w:rFonts w:ascii="Times New Roman" w:hAnsi="Times New Roman" w:cs="Times New Roman"/>
          <w:sz w:val="28"/>
          <w:szCs w:val="28"/>
        </w:rPr>
        <w:t xml:space="preserve">гражданами представлено 41</w:t>
      </w:r>
      <w:r>
        <w:rPr>
          <w:rFonts w:ascii="Times New Roman" w:hAnsi="Times New Roman" w:cs="Times New Roman"/>
          <w:sz w:val="28"/>
          <w:szCs w:val="28"/>
        </w:rPr>
        <w:t xml:space="preserve"> Сведений о доходах</w:t>
      </w:r>
      <w:r>
        <w:rPr>
          <w:rFonts w:ascii="Times New Roman" w:hAnsi="Times New Roman" w:cs="Times New Roman"/>
          <w:sz w:val="28"/>
          <w:szCs w:val="28"/>
        </w:rPr>
        <w:t xml:space="preserve">, основания для проверки</w:t>
      </w:r>
      <w:r>
        <w:rPr>
          <w:rFonts w:ascii="Times New Roman" w:hAnsi="Times New Roman" w:cs="Times New Roman"/>
          <w:sz w:val="28"/>
          <w:szCs w:val="28"/>
        </w:rPr>
        <w:t xml:space="preserve"> достоверности </w:t>
      </w:r>
      <w:r>
        <w:rPr>
          <w:rFonts w:ascii="Times New Roman" w:hAnsi="Times New Roman" w:cs="Times New Roman"/>
          <w:sz w:val="28"/>
          <w:szCs w:val="28"/>
        </w:rPr>
        <w:t xml:space="preserve">отсутствовали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августа 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октябрь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проведен анализ представленных гражданскими служащими 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сведений об изменений анкетных данных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(свидетельства о рождении, свидетельства о заключении брака и иные документы)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возможности возникновения конфликта интересов и несоблюдения гражданскими служащими Управления ограничений и требований, установленных в целях противодействия коррупции. Анализ представленных сведений нарушений не выявил.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 организована работа по предоставлению в установленные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законодательством сроки всеми гражда</w:t>
      </w:r>
      <w:r>
        <w:rPr>
          <w:rFonts w:ascii="Times New Roman" w:hAnsi="Times New Roman" w:cs="Times New Roman"/>
          <w:bCs/>
          <w:sz w:val="28"/>
          <w:szCs w:val="28"/>
        </w:rPr>
        <w:t xml:space="preserve">нскими служащими сведений об адресах сайтов и (или) страниц сайтов в информационно-телекоммуникационной сети «Интернет», на которых гражданские служащие размещали общедоступную информацию, а также данные, позволяющие их идентифицировать. В результате прове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денной работы случаев несоблюдения гражданскими служащими Управления норм законодательства Российской Федерации о противодействии коррупции, этических норм и правил служебного (должностного) поведения при исполнении должностных обязанностей не установлено.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1.2 Плана: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проведенного мониторинга и анализа соблюдения гражданскими служащими, замещавшими должности федеральной государственной гражданской службы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, включенные в перечни, установленные нормативными актами Российской Федерации, ограничений, предусмотренных статьей 12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от 25 декабря 2008 г. № 273-ФЗ 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</w:t>
      </w:r>
      <w:r>
        <w:rPr>
          <w:rFonts w:ascii="Times New Roman" w:hAnsi="Times New Roman" w:cs="Times New Roman"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sz w:val="28"/>
          <w:szCs w:val="28"/>
        </w:rPr>
        <w:t xml:space="preserve"> № 273-ФЗ)</w:t>
      </w:r>
      <w:r>
        <w:rPr>
          <w:rFonts w:ascii="Times New Roman" w:hAnsi="Times New Roman" w:cs="Times New Roman"/>
          <w:sz w:val="28"/>
          <w:szCs w:val="28"/>
        </w:rPr>
        <w:t xml:space="preserve">, при заключении ими после увольнения с государственной службы трудовых и гражданско-правовых договоров, установлено следующее.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за анализируемый период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состоянию на 1 декабря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уволилось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государственных гражданских служащих, должности которых включены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 xml:space="preserve">должностей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</w:t>
      </w:r>
      <w:r>
        <w:rPr>
          <w:rFonts w:ascii="Times New Roman" w:hAnsi="Times New Roman" w:cs="Times New Roman"/>
          <w:sz w:val="28"/>
          <w:szCs w:val="28"/>
        </w:rPr>
        <w:t xml:space="preserve">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                   от 24 декабря 2021 г. № 47н</w:t>
      </w:r>
      <w:r>
        <w:rPr>
          <w:rFonts w:ascii="Times New Roman" w:hAnsi="Times New Roman" w:cs="Times New Roman"/>
          <w:sz w:val="28"/>
          <w:szCs w:val="28"/>
        </w:rPr>
        <w:t xml:space="preserve"> (далее - перечень)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базе данных федеральной государственной информационной системы «Единая информационная система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кадровым составом государственной гражданской службы Российской Федерации» получено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запроса о передаче электронного личного дела бывших гражданских</w:t>
      </w:r>
      <w:r>
        <w:rPr>
          <w:rFonts w:ascii="Times New Roman" w:hAnsi="Times New Roman" w:cs="Times New Roman"/>
          <w:sz w:val="28"/>
          <w:szCs w:val="28"/>
        </w:rPr>
        <w:t xml:space="preserve"> служащих Управления, должности которых включены в перечень, в связи с их назначением на должности гражданской службы в </w:t>
      </w:r>
      <w:r>
        <w:rPr>
          <w:rFonts w:ascii="Times New Roman" w:hAnsi="Times New Roman" w:cs="Times New Roman"/>
          <w:sz w:val="28"/>
          <w:szCs w:val="28"/>
        </w:rPr>
        <w:t xml:space="preserve">других государственных органах.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части 4 статьи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273-ФЗ работодатели, трудоустроившие бывших гражданских служащих, должности которых включены в перечень, направили в адрес Управления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 xml:space="preserve">уведомлений о заключении трудового договора или гражданско-правового договора на выполнение работ (оказание услуг)</w:t>
      </w:r>
      <w:r>
        <w:rPr>
          <w:rFonts w:ascii="Times New Roman" w:hAnsi="Times New Roman" w:cs="Times New Roman"/>
          <w:sz w:val="28"/>
          <w:szCs w:val="28"/>
        </w:rPr>
        <w:t xml:space="preserve"> (далее - уведомление)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предварительного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Отделом государственной гражданской службы и кадров подготовлены мотивировочные заключения об отсутствии ограничений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налагаемых на гражданина, замещавшего должность государственной службы, при заключении им трудового или гражданско-правового договора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рассмотрение поступивших уведомлений </w:t>
      </w:r>
      <w:r>
        <w:rPr>
          <w:rFonts w:ascii="Times New Roman" w:hAnsi="Times New Roman" w:cs="Times New Roman"/>
          <w:sz w:val="28"/>
          <w:szCs w:val="28"/>
        </w:rPr>
        <w:t xml:space="preserve">Комиссией Управления по соблюдению требований к служебному поведению федеральных государственных гражданских служащих и </w:t>
      </w:r>
      <w:r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не требовалось.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3-м</w:t>
      </w:r>
      <w:r>
        <w:rPr>
          <w:rFonts w:ascii="Times New Roman" w:hAnsi="Times New Roman" w:cs="Times New Roman"/>
          <w:sz w:val="28"/>
          <w:szCs w:val="28"/>
        </w:rPr>
        <w:t xml:space="preserve"> бывшим гражданским служащим Управления, уволившимся 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году, информация об их дальнейшем трудоустройстве отсутствует.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Двое</w:t>
      </w:r>
      <w:r>
        <w:rPr>
          <w:rFonts w:ascii="Times New Roman" w:hAnsi="Times New Roman" w:cs="Times New Roman"/>
          <w:sz w:val="28"/>
          <w:szCs w:val="28"/>
        </w:rPr>
        <w:t xml:space="preserve"> федеральных государственных служащих уволилось по собственной инициативе с дальнейшим оформлением пенсии за выслугу лет.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</w:t>
      </w:r>
      <w:r>
        <w:rPr>
          <w:rFonts w:ascii="Times New Roman" w:hAnsi="Times New Roman" w:cs="Times New Roman"/>
          <w:sz w:val="28"/>
          <w:szCs w:val="28"/>
        </w:rPr>
        <w:t xml:space="preserve"> того, в Управление поступило 40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по бывшим гражданским служащим Управления, уволенным в анализируемом периоде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года, должности которых не включены в перечень.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 состоянию на 1 декабря 2</w:t>
      </w:r>
      <w:r>
        <w:rPr>
          <w:rFonts w:ascii="Times New Roman" w:hAnsi="Times New Roman" w:cs="Times New Roman"/>
          <w:sz w:val="28"/>
          <w:szCs w:val="28"/>
        </w:rPr>
        <w:t xml:space="preserve">024 г. в Управление поступило 52</w:t>
      </w:r>
      <w:r>
        <w:rPr>
          <w:rFonts w:ascii="Times New Roman" w:hAnsi="Times New Roman" w:cs="Times New Roman"/>
          <w:sz w:val="28"/>
          <w:szCs w:val="28"/>
        </w:rPr>
        <w:t xml:space="preserve"> уведомления</w:t>
      </w:r>
      <w:r>
        <w:rPr>
          <w:rFonts w:ascii="Times New Roman" w:hAnsi="Times New Roman" w:cs="Times New Roman"/>
          <w:sz w:val="28"/>
          <w:szCs w:val="28"/>
        </w:rPr>
        <w:t xml:space="preserve">, включая сведения по сотрудникам, уволенным в предыдущие периоды.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Министерства труда и социальной защиты Российской Федерации, изложенными в письме от 11 мая 2017 г. № 18-4/10/П-2943 «</w:t>
      </w:r>
      <w:r>
        <w:rPr>
          <w:rFonts w:ascii="Times New Roman" w:hAnsi="Times New Roman" w:cs="Times New Roman"/>
          <w:sz w:val="28"/>
          <w:szCs w:val="28"/>
        </w:rPr>
        <w:t xml:space="preserve">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</w:t>
      </w:r>
      <w:r>
        <w:rPr>
          <w:rFonts w:ascii="Times New Roman" w:hAnsi="Times New Roman" w:cs="Times New Roman"/>
          <w:sz w:val="28"/>
          <w:szCs w:val="28"/>
        </w:rPr>
        <w:t xml:space="preserve">авового договора с организацией» (далее – рекомендации Минтруда) по всем поступившим в Управление уведомлениям отправлены ответные письма о результатах их рассмотрения.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выполнения рекомендаций Минтруда о направлении сведений об отсутствии информации</w:t>
      </w:r>
      <w:r>
        <w:rPr>
          <w:rFonts w:ascii="Times New Roman" w:hAnsi="Times New Roman" w:cs="Times New Roman"/>
          <w:sz w:val="28"/>
          <w:szCs w:val="28"/>
        </w:rPr>
        <w:t xml:space="preserve"> о дальнейшем трудоустройстве бывших гражданских служащих Управления в органы прокуратуры,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</w:t>
      </w:r>
      <w:r>
        <w:rPr>
          <w:rFonts w:ascii="Times New Roman" w:hAnsi="Times New Roman" w:cs="Times New Roman"/>
          <w:sz w:val="28"/>
          <w:szCs w:val="28"/>
        </w:rPr>
        <w:t xml:space="preserve">ан</w:t>
      </w:r>
      <w:r>
        <w:rPr>
          <w:rFonts w:ascii="Times New Roman" w:hAnsi="Times New Roman" w:cs="Times New Roman"/>
          <w:sz w:val="28"/>
          <w:szCs w:val="28"/>
        </w:rPr>
        <w:t xml:space="preserve"> локальный акт, определяющий периодичность</w:t>
      </w:r>
      <w:r>
        <w:rPr>
          <w:rFonts w:ascii="Times New Roman" w:hAnsi="Times New Roman" w:cs="Times New Roman"/>
          <w:sz w:val="28"/>
          <w:szCs w:val="28"/>
        </w:rPr>
        <w:t xml:space="preserve">, порядок</w:t>
      </w:r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  <w:r>
        <w:rPr>
          <w:rFonts w:ascii="Times New Roman" w:hAnsi="Times New Roman" w:cs="Times New Roman"/>
          <w:sz w:val="28"/>
          <w:szCs w:val="28"/>
        </w:rPr>
        <w:t xml:space="preserve"> и реализации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мониторинга за трудоустройством уволившихся сотрудников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1.3 Плана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ассмотрение в Управлении в установленном порядке представленных гражданскими служащими уведомлений о намерении выполнять иную оплачиваемую работу, докладывае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рассмотрения поступивших в 2024 года уведомлений «О намерении выполнять иную оплачиваемую работу» (далее - Уведомление).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01 декабря </w:t>
      </w:r>
      <w:r>
        <w:rPr>
          <w:rFonts w:ascii="Times New Roman" w:hAnsi="Times New Roman" w:cs="Times New Roman"/>
          <w:sz w:val="28"/>
          <w:szCs w:val="28"/>
        </w:rPr>
        <w:t xml:space="preserve">2024 Уведомления представили 2 гражданских служащих Управления</w:t>
      </w:r>
      <w:r>
        <w:rPr>
          <w:rFonts w:ascii="Times New Roman" w:hAnsi="Times New Roman" w:cs="Times New Roman"/>
          <w:sz w:val="28"/>
          <w:szCs w:val="28"/>
        </w:rPr>
        <w:t xml:space="preserve">. Представленные Уведомления в день поступления зарегистрированы в Журнале регистрации уведомлений об иной оплачиваемой работы.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уведомления представителя нанимателя феде</w:t>
      </w:r>
      <w:r>
        <w:rPr>
          <w:rFonts w:ascii="Times New Roman" w:hAnsi="Times New Roman" w:cs="Times New Roman"/>
          <w:sz w:val="28"/>
          <w:szCs w:val="28"/>
        </w:rPr>
        <w:t xml:space="preserve">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утвержденного приказом Фед</w:t>
      </w:r>
      <w:r>
        <w:rPr>
          <w:rFonts w:ascii="Times New Roman" w:hAnsi="Times New Roman" w:cs="Times New Roman"/>
          <w:sz w:val="28"/>
          <w:szCs w:val="28"/>
        </w:rPr>
        <w:t xml:space="preserve">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27 декабря </w:t>
      </w:r>
      <w:r>
        <w:rPr>
          <w:rFonts w:ascii="Times New Roman" w:hAnsi="Times New Roman" w:cs="Times New Roman"/>
          <w:sz w:val="28"/>
          <w:szCs w:val="28"/>
        </w:rPr>
        <w:t xml:space="preserve">2022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№ 410, государственные служащие заблаговременно до начала осуществления иной оплачиваемой деятельности лично в письменной форме уведомили представителя нанимателя. Копии Уведомлений с отметкой о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выданы гражданским служащим на руки.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предварит</w:t>
      </w:r>
      <w:r>
        <w:rPr>
          <w:rFonts w:ascii="Times New Roman" w:hAnsi="Times New Roman" w:cs="Times New Roman"/>
          <w:sz w:val="28"/>
          <w:szCs w:val="28"/>
        </w:rPr>
        <w:t xml:space="preserve">ельного рассмотрения Уведомлений не выявлены признаки возможного возникновения конфликта интересов. На 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(далее - Комиссия)</w:t>
      </w:r>
      <w:r>
        <w:rPr>
          <w:rFonts w:ascii="Times New Roman" w:hAnsi="Times New Roman" w:cs="Times New Roman"/>
          <w:sz w:val="28"/>
          <w:szCs w:val="28"/>
        </w:rPr>
        <w:t xml:space="preserve"> поданные Уведомления не рассматривались.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1.4</w:t>
      </w:r>
      <w:r>
        <w:rPr>
          <w:rFonts w:ascii="Times New Roman" w:hAnsi="Times New Roman" w:cs="Times New Roman"/>
          <w:b/>
          <w:sz w:val="28"/>
          <w:szCs w:val="28"/>
        </w:rPr>
        <w:t xml:space="preserve"> Плана: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Ревизия локальных актов Управления, а также методических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в сфере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не выявила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актуализации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исполнение пункта 1.5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Плана:</w:t>
      </w:r>
      <w:r>
        <w:rPr>
          <w:rFonts w:ascii="Times New Roman" w:hAnsi="Times New Roman" w:cs="Times New Roman"/>
          <w:sz w:val="28"/>
          <w:szCs w:val="28"/>
        </w:rPr>
        <w:t xml:space="preserve"> Проведены следующие мероприятия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</w:t>
      </w:r>
      <w:r>
        <w:rPr>
          <w:rFonts w:ascii="Times New Roman" w:hAnsi="Times New Roman" w:cs="Times New Roman"/>
          <w:sz w:val="28"/>
          <w:szCs w:val="28"/>
        </w:rPr>
        <w:t xml:space="preserve">ие</w:t>
      </w:r>
      <w:r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, а также применение мер юридической ответственности, предусмотренных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>
        <w:rPr>
          <w:rFonts w:ascii="Times New Roman" w:hAnsi="Times New Roman" w:cs="Times New Roman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sz w:val="28"/>
          <w:szCs w:val="28"/>
        </w:rPr>
        <w:t xml:space="preserve"> 2024 г. в Управлении 10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гражданских служащих замещают должности категории «руководители».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Отделом государственной гражданской службы и кадров осуществлен совокупный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анализ сведений, содержащихся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документах, приобщенных к личным делам гражданских служащих;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результате проведенной работы случаев возникновения конфликта интересов, одной из сторон которого являются лица, замещающие должности гражданской службы категории «руководители», не установлено.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1.6 Плана: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на заседании Комиссии доклада о принимаемых мерах по предупреждению коррупции, в том числе о ходе реализац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мероприятий Плана.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информации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вленной начальниками Отделов Управления, подготовлен соответствующий доклад. Доклад заслушан на заседании Комиссии. Комиссией проведена оценка качества принимаемых мер по предупреждению коррупции, результаты которой отражены в протоколе заседания Комиссии.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1.7 Плана: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приема сведений о доходах, расходах, об имуществе и обязательствах имущественного характера, представляемых гражданскими с</w:t>
      </w:r>
      <w:r>
        <w:rPr>
          <w:rFonts w:ascii="Times New Roman" w:hAnsi="Times New Roman" w:cs="Times New Roman"/>
          <w:sz w:val="28"/>
          <w:szCs w:val="28"/>
        </w:rPr>
        <w:t xml:space="preserve">лужащими Управления. Обеспечен контроль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своевременного представления указанных сведений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гражданские служащие Управления представляли Сведения о дох</w:t>
      </w:r>
      <w:r>
        <w:rPr>
          <w:rFonts w:ascii="Times New Roman" w:hAnsi="Times New Roman" w:cs="Times New Roman"/>
          <w:sz w:val="28"/>
          <w:szCs w:val="28"/>
        </w:rPr>
        <w:t xml:space="preserve">одах, расходах, имуществе и обязательствах имущественного характера за отчетный период 2023 год по форме, утвержденной Указом Президента Российской Федерации от 23 июня 2014 г. № 460 с использованием программного комплекса СПО «Справки БК» в срок до 30 апреля 2024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Уточняющие с</w:t>
      </w:r>
      <w:r>
        <w:rPr>
          <w:rFonts w:ascii="Times New Roman" w:hAnsi="Times New Roman" w:cs="Times New Roman"/>
          <w:sz w:val="28"/>
          <w:szCs w:val="28"/>
        </w:rPr>
        <w:t xml:space="preserve">ведения гражданскими служащими в срок до 31 мая 2024 г. не подавались.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Фактов несвоевременного представления Сведений о доходах не установлено.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1.8 Плана: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к размещению и размещение в установленном порядке све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дений о доходах, расходах, об имуществе и обязательствах имущественного характера, представленных гражданскими служащими Управления на официальном сайте Управления в информационно – телекоммуникационной сети «Интернет» (далее – официальный сайт Управления)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Размещение сведений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представленных гражданскими служащими Управления на официальном сайте Управления в информационно – телекоммуникационной сети «Интернет»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проводилось в соответствии с подпунктом «ж» пункта 1 Указа Президента Российской Федерации от 29 декабря 2022 г. № 968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специальной военной операции»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1.9 Плана: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тиводействии коррупции федеральными государственными гражданскими служащими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представлена в срок.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1.10 Плана: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Актуал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интересов.</w:t>
      </w:r>
      <w:r>
        <w:t xml:space="preserve"> </w:t>
      </w:r>
      <w:r/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Управлении с июля по сентябрь 2024 года проведена работа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актуализации анкетных данных федеральных государственных гражданских служащих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Анкетные данные актуализированы, по ее результатам конфликта интересов не выявлено.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1.</w:t>
      </w:r>
      <w:r>
        <w:rPr>
          <w:rFonts w:ascii="Times New Roman" w:hAnsi="Times New Roman" w:cs="Times New Roman"/>
          <w:b/>
          <w:sz w:val="28"/>
          <w:szCs w:val="28"/>
        </w:rPr>
        <w:t xml:space="preserve">11 Плана: </w:t>
      </w:r>
      <w:r>
        <w:rPr>
          <w:rFonts w:ascii="Times New Roman" w:hAnsi="Times New Roman" w:cs="Times New Roman"/>
          <w:sz w:val="28"/>
          <w:szCs w:val="28"/>
        </w:rPr>
        <w:t xml:space="preserve">Анализ актуальных сведений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представленных гражданскими служащим</w:t>
      </w:r>
      <w:r>
        <w:rPr>
          <w:rFonts w:ascii="Times New Roman" w:hAnsi="Times New Roman" w:cs="Times New Roman"/>
          <w:sz w:val="28"/>
          <w:szCs w:val="28"/>
        </w:rPr>
        <w:t xml:space="preserve">и, об их родственниках и свойственниках в целях выявления возможного конфликта интересов показал следующее.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Представленные гражданскими служащими документы для актуализации сведений, содержащихся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их личных делах, не содержат информации, свидетельствующей о наличии возможного конфликта интересов.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1.12 Плана: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занятий по антикоррупционному просвещению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ражданских служащих Управления.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антикоррупционного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просвещения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государственным служащим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доведены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сентябре 2024 года врио начальника Отдела государственной гражданской службы и кадров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сотрудников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средствам видео-конференц-связи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обучающее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занятие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Антикоррупционное просвещение гражданских служащих Управления Федерального казначейства по Московской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1.1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 Плана: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</w:rPr>
        <w:t xml:space="preserve">беспечени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участия гражданских служащих Управления, в должностные обязанности которых входит участие в противодействии коррупции,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прошли повышение квалификации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три</w:t>
      </w:r>
      <w:r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Российской академии народного хозяйства и государственной службы при Президенте Российской Федерации по теме «</w:t>
      </w:r>
      <w:r>
        <w:rPr>
          <w:rFonts w:ascii="Times New Roman" w:hAnsi="Times New Roman" w:cs="Times New Roman"/>
          <w:bCs/>
          <w:sz w:val="28"/>
          <w:szCs w:val="28"/>
        </w:rPr>
        <w:t xml:space="preserve">Функции подразделений федеральных государственных органов по профилактике коррупционных и иных правонарушений (продвинутый уровень)</w:t>
      </w:r>
      <w:r>
        <w:rPr>
          <w:rFonts w:ascii="Times New Roman" w:hAnsi="Times New Roman" w:cs="Times New Roman"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Cs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Управлении Федерального казначейства по Волгоградской области по теме «Профилактика коррупционных и иных правонарушений».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1.14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участия сотрудников, впервые поступивших на государств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поступлении на государственную г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ражданскую службу в 2024 году 4</w:t>
      </w: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вновь принятых граждански</w:t>
      </w:r>
      <w:r>
        <w:rPr>
          <w:rFonts w:ascii="Times New Roman" w:hAnsi="Times New Roman" w:cs="Times New Roman"/>
          <w:bCs/>
          <w:sz w:val="28"/>
          <w:szCs w:val="28"/>
        </w:rPr>
        <w:t xml:space="preserve">х служащих были ознакомлены с основными нормативными правовыми актами, регламентирующими вопросы, связанные с прохождением государственной гражданской службы, соблюдением Кодекса этики и служебного поведения, а также противодействия коррупции на госслужбе.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исполнению пункта 2.1 Плана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антикоррупционной экспертизы проектов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факторов, Юридическим отделом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2 февраля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руководителю Управления представлен доклад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проведения эк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спертизы за период с 01 мая 2023 г. по 31 января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01 января 2024 г. по 01 декабря 2024</w:t>
      </w:r>
      <w:r>
        <w:rPr>
          <w:rFonts w:ascii="Times New Roman" w:hAnsi="Times New Roman" w:cs="Times New Roman"/>
          <w:sz w:val="28"/>
          <w:szCs w:val="28"/>
        </w:rPr>
        <w:t xml:space="preserve"> г. Юридическим отделом проведена правовая экспертиза </w:t>
      </w:r>
      <w:r>
        <w:rPr>
          <w:rFonts w:ascii="Times New Roman" w:hAnsi="Times New Roman" w:cs="Times New Roman"/>
          <w:sz w:val="28"/>
          <w:szCs w:val="28"/>
        </w:rPr>
        <w:t xml:space="preserve">4 342</w:t>
      </w:r>
      <w:r>
        <w:rPr>
          <w:rFonts w:ascii="Times New Roman" w:hAnsi="Times New Roman" w:cs="Times New Roman"/>
          <w:sz w:val="28"/>
          <w:szCs w:val="28"/>
        </w:rPr>
        <w:t xml:space="preserve">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факторов. Коррупционные факторы не выявлены.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2.2 Плана: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в проведении оценки коррупционных рисков, возникающих при реализации Управлением установленных функций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декабря 2024 г. от начальников отделов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поступало предложений по корректировке перечня коррупционно-опасных функций Управления.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тем, в 2024 году от начальников отделов Управления поступали предложения по минимизации коррупционных рисков и профилактики коррупции в Управлении, на основании которых в Управлении утвержден соответствующих план по профилакти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 коррупции.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.1 Плана: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частие в принятии 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ациональных проектов предусмотренных Указом Президента Российской Федерации от 7 мая 2018 г. № 204 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по принятым мерам представлен руководителю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 3.2 Плана: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подготовке предложений по анализу практики</w:t>
      </w:r>
      <w:r>
        <w:rPr>
          <w:rFonts w:ascii="Times New Roman" w:hAnsi="Times New Roman" w:cs="Times New Roman"/>
          <w:sz w:val="28"/>
          <w:szCs w:val="28"/>
        </w:rPr>
        <w:t xml:space="preserve"> применения цифровых технологий при оказании государственных и муниципальных услуг,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</w:t>
      </w:r>
      <w:r>
        <w:rPr>
          <w:rFonts w:ascii="Times New Roman" w:hAnsi="Times New Roman" w:cs="Times New Roman"/>
          <w:sz w:val="28"/>
          <w:szCs w:val="28"/>
        </w:rPr>
        <w:t xml:space="preserve">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декабря 2024 г. от Федерального казначейства не поступало запрос по реализации положений данного пункта.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исполнению пункта 4.1 Плана: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ониторинг размещения на официальном сайте Управления информации об антикоррупционной деятельности, ведение специализированного подраздела «Противодействие коррупции».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Управления в информационно-телекоммуникационной сети «Интернет» в разделе «Иная деятельность» ведется специализированный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«Противодействие коррупции» в котором в свобо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дном доступе размещается и поддерживается в актуальном состоянии нормативная правовая, а также справочная информация по вопросам противодействия коррупции, методические рекомендации, разъяснения к отдельным положениям федерального законодательства в сфере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противодействия коррупции, сведения о доходах, расходах, об имуществе и обязательствах имущественного характера госслужащих и членов их семей, формы документов, связанных с противодействием коррупции, для заполнения, информация о составе и работе Комиссии.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сайте Управления ежегодно проводится онлайн-опрос граждан об оценке эффективности работы по противодействию коррупции в Управлении.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исполнению пункта 4.2 Плана: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 xml:space="preserve">ониторинг и обобщение результатов рассмотрения обращений граждан и организаций по информации проявления коррупции в Управлении, показал следующие результаты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целью получения дополнительной информации по совершенствованию деятельности Управления, а также оперативного реагирования на возможные коррупционные проявления в деятельности Управления, на официальном сайте Управления в подразделе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 «Противодействие коррупции» размещен номер «телефона доверия», а также обеспечена возможность отправки/получения электронных сообщений. В отчетном периоде сообщений о фактах коррупции или нарушения служащими требований к служебному поведению не поступало.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Фактов получения подарков госслужащими Управления не зарегистрировано. Нарушений запретов, касающихся получения подарков и порядка их сдачи не установлено.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не поступало.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4.3 Плана: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мониторинг публикаций в средствах массовой информации и в социальных сетях о фактах проявления коррупции в Управлении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организация проверки выявленных фактов.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мониторинга публикаций в средствах массовой информации и в социальных сетях не выявлено фактов проявления коррупции в Управлении.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4.4 Плана: </w:t>
      </w:r>
      <w:r>
        <w:rPr>
          <w:rFonts w:ascii="Times New Roman" w:hAnsi="Times New Roman" w:cs="Times New Roman"/>
          <w:sz w:val="28"/>
          <w:szCs w:val="28"/>
        </w:rPr>
        <w:t xml:space="preserve">участие в анализе практики применения ограничений, касающихся получения подарков гражданскими служащими Управления, и иными категориями лиц с целью подготовки по итогам проведенного анализа предложен</w:t>
      </w:r>
      <w:r>
        <w:rPr>
          <w:rFonts w:ascii="Times New Roman" w:hAnsi="Times New Roman" w:cs="Times New Roman"/>
          <w:sz w:val="28"/>
          <w:szCs w:val="28"/>
        </w:rPr>
        <w:t xml:space="preserve">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</w:t>
      </w:r>
      <w:r>
        <w:rPr>
          <w:rFonts w:ascii="Times New Roman" w:hAnsi="Times New Roman" w:cs="Times New Roman"/>
          <w:sz w:val="28"/>
          <w:szCs w:val="28"/>
        </w:rPr>
        <w:t xml:space="preserve">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</w:t>
      </w:r>
      <w:r>
        <w:rPr>
          <w:rFonts w:ascii="Times New Roman" w:hAnsi="Times New Roman" w:cs="Times New Roman"/>
          <w:sz w:val="28"/>
          <w:szCs w:val="28"/>
        </w:rPr>
        <w:t xml:space="preserve">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состоянию на 01 декабря 2024 г. от Федерального казначейства не поступало запрос на участие в мероприятии по исполнении указанного пункта Плана.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5.1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антикоррупционных конференциях, семинарах и «круглых столах» с приглашением представителей федеральных органов исполнительной власти, органов исполнительной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власти Московской области, органов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самоуправления, а также представителей высших учебных заведений и общественных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декабря 2024 г. в адрес Управления не поступало предложений по участию указанных мероприятиях.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5.2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пров</w:t>
      </w:r>
      <w:r>
        <w:rPr>
          <w:rFonts w:ascii="Times New Roman" w:hAnsi="Times New Roman" w:cs="Times New Roman"/>
          <w:sz w:val="28"/>
          <w:szCs w:val="28"/>
        </w:rPr>
        <w:t xml:space="preserve">едении Всероссийских конкурсов </w:t>
      </w:r>
      <w:r>
        <w:rPr>
          <w:rFonts w:ascii="Times New Roman" w:hAnsi="Times New Roman" w:cs="Times New Roman"/>
          <w:sz w:val="28"/>
          <w:szCs w:val="28"/>
        </w:rPr>
        <w:t xml:space="preserve">по творческому отображению противодействия коррупции с максимальным привлечением органов исполнительной власти Московской области, научных и образовательных учреждений, организаций и предприятий по 4 номинациям: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-антикоррупционный плакат;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-антикоррупционный буклет;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-видеоматериалы социальной антикоррупционной направленности;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-сценическое мастерство по воспитанию невосприятия коррупционных действий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Мероприятие завершено в мае 2023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пункта 5.3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проведении Всероссийского антикоррупционного форума финансово-экономических органов (пункт 38 Национ</w:t>
      </w:r>
      <w:r>
        <w:rPr>
          <w:rFonts w:ascii="Times New Roman" w:hAnsi="Times New Roman" w:cs="Times New Roman"/>
          <w:sz w:val="28"/>
          <w:szCs w:val="28"/>
        </w:rPr>
        <w:t xml:space="preserve">ального плана противодействия коррупции) с привлечением федеральных органов исполнительной власти, органов исполнительной власти субъектов Российской Федерации, органов местного самоуправления, научных, общественных организаций и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Мероприятие выполнено в июле 2023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Мероприятия Плана, запланированные на 2024 год, выполнены.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21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04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98813944"/>
      <w:docPartObj>
        <w:docPartGallery w:val="Page Numbers (Top of Page)"/>
        <w:docPartUnique w:val="true"/>
      </w:docPartObj>
      <w:rPr/>
    </w:sdtPr>
    <w:sdtContent>
      <w:p>
        <w:pPr>
          <w:pStyle w:val="85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9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8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>
    <w:name w:val="Heading 1"/>
    <w:basedOn w:val="853"/>
    <w:next w:val="853"/>
    <w:link w:val="6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0">
    <w:name w:val="Heading 1 Char"/>
    <w:basedOn w:val="854"/>
    <w:link w:val="679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4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4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4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4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4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4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4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4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3"/>
    <w:next w:val="853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basedOn w:val="854"/>
    <w:link w:val="698"/>
    <w:uiPriority w:val="10"/>
    <w:rPr>
      <w:sz w:val="48"/>
      <w:szCs w:val="48"/>
    </w:rPr>
  </w:style>
  <w:style w:type="paragraph" w:styleId="700">
    <w:name w:val="Subtitle"/>
    <w:basedOn w:val="853"/>
    <w:next w:val="853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basedOn w:val="854"/>
    <w:link w:val="700"/>
    <w:uiPriority w:val="11"/>
    <w:rPr>
      <w:sz w:val="24"/>
      <w:szCs w:val="24"/>
    </w:rPr>
  </w:style>
  <w:style w:type="paragraph" w:styleId="702">
    <w:name w:val="Quote"/>
    <w:basedOn w:val="853"/>
    <w:next w:val="853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3"/>
    <w:next w:val="853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character" w:styleId="706">
    <w:name w:val="Header Char"/>
    <w:basedOn w:val="854"/>
    <w:link w:val="858"/>
    <w:uiPriority w:val="99"/>
  </w:style>
  <w:style w:type="character" w:styleId="707">
    <w:name w:val="Footer Char"/>
    <w:basedOn w:val="854"/>
    <w:link w:val="860"/>
    <w:uiPriority w:val="99"/>
  </w:style>
  <w:style w:type="paragraph" w:styleId="708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860"/>
    <w:uiPriority w:val="99"/>
  </w:style>
  <w:style w:type="table" w:styleId="710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9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0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1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2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3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4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4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4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character" w:styleId="854" w:default="1">
    <w:name w:val="Default Paragraph Font"/>
    <w:uiPriority w:val="1"/>
    <w:semiHidden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table" w:styleId="857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8">
    <w:name w:val="Header"/>
    <w:basedOn w:val="853"/>
    <w:link w:val="8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9" w:customStyle="1">
    <w:name w:val="Верхний колонтитул Знак"/>
    <w:basedOn w:val="854"/>
    <w:link w:val="858"/>
    <w:uiPriority w:val="99"/>
  </w:style>
  <w:style w:type="paragraph" w:styleId="860">
    <w:name w:val="Footer"/>
    <w:basedOn w:val="853"/>
    <w:link w:val="8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1" w:customStyle="1">
    <w:name w:val="Нижний колонтитул Знак"/>
    <w:basedOn w:val="854"/>
    <w:link w:val="860"/>
    <w:uiPriority w:val="99"/>
  </w:style>
  <w:style w:type="paragraph" w:styleId="862">
    <w:name w:val="List Paragraph"/>
    <w:basedOn w:val="853"/>
    <w:uiPriority w:val="34"/>
    <w:qFormat/>
    <w:pPr>
      <w:contextualSpacing/>
      <w:ind w:left="720"/>
    </w:pPr>
  </w:style>
  <w:style w:type="paragraph" w:styleId="86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Парфенюк Александр Александрович</dc:creator>
  <cp:lastModifiedBy>Аноним</cp:lastModifiedBy>
  <cp:revision>27</cp:revision>
  <dcterms:created xsi:type="dcterms:W3CDTF">2024-07-18T07:01:00Z</dcterms:created>
  <dcterms:modified xsi:type="dcterms:W3CDTF">2025-12-11T14:42:55Z</dcterms:modified>
</cp:coreProperties>
</file>