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66"/>
        <w:ind w:left="9923"/>
        <w:jc w:val="center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  <w:t xml:space="preserve">УТВЕРЖДЕН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6"/>
        <w:ind w:left="9923"/>
        <w:jc w:val="center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6"/>
        <w:ind w:left="9923"/>
        <w:jc w:val="center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  <w:t xml:space="preserve">приказом УФК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6"/>
        <w:ind w:left="9923"/>
        <w:jc w:val="center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  <w:t xml:space="preserve">по Московской области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6"/>
        <w:ind w:left="9923"/>
        <w:jc w:val="center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13 февраля 2025 г. № 84</w:t>
      </w:r>
      <w:bookmarkStart w:id="0" w:name="_GoBack"/>
      <w:r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66"/>
        <w:ind w:right="-172"/>
        <w:jc w:val="center"/>
        <w:spacing w:before="240" w:after="240" w:line="360" w:lineRule="atLeast"/>
        <w:rPr>
          <w:rFonts w:ascii="Times New Roman" w:hAnsi="Times New Roman" w:cs="Times New Roman"/>
          <w:sz w:val="28"/>
          <w:szCs w:val="28"/>
        </w:rPr>
      </w:pPr>
      <w:r/>
      <w:bookmarkStart w:id="1" w:name="P29"/>
      <w:r/>
      <w:bookmarkEnd w:id="1"/>
      <w:r>
        <w:rPr>
          <w:rFonts w:ascii="Times New Roman" w:hAnsi="Times New Roman" w:cs="Times New Roman"/>
          <w:sz w:val="28"/>
          <w:szCs w:val="28"/>
        </w:rPr>
        <w:t xml:space="preserve">План противодействия коррупции</w:t>
      </w:r>
      <w:r>
        <w:rPr>
          <w:rFonts w:ascii="Times New Roman" w:hAnsi="Times New Roman" w:cs="Times New Roman"/>
          <w:sz w:val="28"/>
          <w:szCs w:val="28"/>
        </w:rPr>
        <w:br/>
        <w:t xml:space="preserve">Управления Федерального казначейства по Московской области на 2025 – 2028 годы</w:t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877"/>
        <w:tblW w:w="15134" w:type="dxa"/>
        <w:tblLayout w:type="fixed"/>
        <w:tblLook w:val="0000" w:firstRow="0" w:lastRow="0" w:firstColumn="0" w:lastColumn="0" w:noHBand="0" w:noVBand="0"/>
      </w:tblPr>
      <w:tblGrid>
        <w:gridCol w:w="660"/>
        <w:gridCol w:w="5401"/>
        <w:gridCol w:w="2552"/>
        <w:gridCol w:w="1843"/>
        <w:gridCol w:w="4678"/>
      </w:tblGrid>
      <w:tr>
        <w:tblPrEx/>
        <w:trPr>
          <w:trHeight w:val="170"/>
          <w:tblHeader/>
        </w:trPr>
        <w:tc>
          <w:tcPr>
            <w:tcW w:w="661" w:type="dxa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п/п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400" w:type="dxa"/>
            <w:vAlign w:val="center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552" w:type="dxa"/>
            <w:vAlign w:val="center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Ответственные исполнители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vAlign w:val="center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исполнения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vAlign w:val="center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Ожидаемый результат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421"/>
        </w:trPr>
        <w:tc>
          <w:tcPr>
            <w:tcW w:w="661" w:type="dxa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4"/>
            <w:tcW w:w="14473" w:type="dxa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соблюдения федеральными государственными гражданскими служащими и работниками ограничений, запретов и требований к служебному поведению, предотвращения и урегулирования конфликта интересов в связи с исполнением ими должно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стных обязанностей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61" w:type="dxa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401" w:type="dxa"/>
            <w:textDirection w:val="lrTb"/>
            <w:noWrap w:val="false"/>
          </w:tcPr>
          <w:p>
            <w:pPr>
              <w:pStyle w:val="882"/>
              <w:jc w:val="both"/>
              <w:shd w:val="clear" w:color="auto" w:fill="auto"/>
              <w:tabs>
                <w:tab w:val="left" w:pos="2002" w:leader="none"/>
                <w:tab w:val="right" w:pos="5184" w:leader="none"/>
              </w:tabs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Осуществление мониторинга и анализа соблюдения гражданскими служащими, замещавшими должности федеральной государственной гражданск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ой службы (далее – государственная служба) в Управлении Федерального казначейства по Московской области (далее - Управление), включенные в перечни, установленные нормативными правовыми актами Российской Федерации (далее - должности, связанные с коррупционн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ыми рисками), ограничений, предусмотренных статьей 12 Федерального закона от 25 декабря 2008 г.                    № 273-ФЗ «О противодействии коррупции», при заключении ими после увольнения с государственной службы трудовых и гражданско-правовых договоров</w:t>
            </w:r>
            <w:r>
              <w:rPr>
                <w:color w:val="000000"/>
                <w:sz w:val="24"/>
                <w:szCs w:val="24"/>
                <w:lang w:eastAsia="ru-RU" w:bidi="ru-RU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государственной гражданской службы и кадров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Парфенюк А.А.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Ежеквартально, не позднее 15 рабочих дней, следующих за отчетной датой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Управления о результатах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поступивших от коммерческих и некоммерческих орган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изаций уведомлений о заключении трудовых и гражданско-правовых договоров с лицами, замещавшими должности, связанные с коррупционными рисками.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о гражданских служащих, в отношении которых соответствующие уведомления от коммерческих и некоммерческ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их организаций не поступали направлена в Прокуратуру Московской области.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61" w:type="dxa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401" w:type="dxa"/>
            <w:textDirection w:val="lrTb"/>
            <w:noWrap w:val="false"/>
          </w:tcPr>
          <w:p>
            <w:pPr>
              <w:jc w:val="both"/>
              <w:tabs>
                <w:tab w:val="left" w:pos="120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в Управлении в установленном порядке представленных гражданскими служащими Управления уведомлений 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намерении выполнять иную оплачиваемую работу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ачальник Отдела государственной гражданской службы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кадров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Парфенюк А.А.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82"/>
              <w:jc w:val="center"/>
              <w:shd w:val="clear" w:color="auto" w:fill="auto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 xml:space="preserve">Ежеквартально в течение 5 рабочих дней </w:t>
            </w:r>
            <w:r>
              <w:rPr>
                <w:rFonts w:eastAsiaTheme="minorHAnsi"/>
                <w:sz w:val="24"/>
                <w:szCs w:val="24"/>
              </w:rPr>
              <w:t xml:space="preserve">после окончания</w:t>
            </w:r>
            <w:r>
              <w:rPr>
                <w:rFonts w:eastAsiaTheme="minorHAnsi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квартала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textDirection w:val="lrTb"/>
            <w:noWrap w:val="false"/>
          </w:tcPr>
          <w:p>
            <w:pPr>
              <w:jc w:val="both"/>
              <w:widowControl w:val="off"/>
              <w:tabs>
                <w:tab w:val="left" w:pos="1291" w:leader="none"/>
                <w:tab w:val="left" w:pos="3302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Управления о результатах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поступивших в соответствующем квартале уведомлений.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61" w:type="dxa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401" w:type="dxa"/>
            <w:textDirection w:val="lrTb"/>
            <w:noWrap w:val="false"/>
          </w:tcPr>
          <w:p>
            <w:pPr>
              <w:jc w:val="both"/>
              <w:tabs>
                <w:tab w:val="left" w:pos="1200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Ежегодная ревизия локальных актов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Управления, 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также методических материалов в сфере противодействия коррупции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государственной гражданской службы и кадров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Парфенюк А.А.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31 декабря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textDirection w:val="lrTb"/>
            <w:noWrap w:val="false"/>
          </w:tcPr>
          <w:p>
            <w:pPr>
              <w:pStyle w:val="882"/>
              <w:jc w:val="both"/>
              <w:shd w:val="clear" w:color="auto" w:fill="auto"/>
              <w:tabs>
                <w:tab w:val="left" w:pos="1502" w:leader="none"/>
                <w:tab w:val="left" w:pos="2165" w:leader="none"/>
                <w:tab w:val="left" w:pos="4258" w:leader="none"/>
              </w:tabs>
              <w:rPr>
                <w:rFonts w:eastAsiaTheme="minorHAnsi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Издание в локальные акты,</w:t>
            </w:r>
            <w:r>
              <w:rPr>
                <w:rFonts w:eastAsiaTheme="minorHAnsi"/>
                <w:sz w:val="24"/>
                <w:szCs w:val="24"/>
              </w:rPr>
              <w:t xml:space="preserve"> а также методические материалы в сфере противодействия коррупции (при </w:t>
            </w:r>
            <w:r>
              <w:rPr>
                <w:sz w:val="24"/>
                <w:szCs w:val="24"/>
              </w:rPr>
              <w:t xml:space="preserve">необходимости).</w:t>
            </w:r>
            <w:r>
              <w:rPr>
                <w:rFonts w:eastAsiaTheme="minorHAnsi"/>
                <w:sz w:val="24"/>
                <w:szCs w:val="24"/>
              </w:rPr>
            </w:r>
          </w:p>
        </w:tc>
      </w:tr>
      <w:tr>
        <w:tblPrEx/>
        <w:trPr/>
        <w:tc>
          <w:tcPr>
            <w:tcW w:w="661" w:type="dxa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401" w:type="dxa"/>
            <w:textDirection w:val="lrTb"/>
            <w:noWrap w:val="false"/>
          </w:tcPr>
          <w:p>
            <w:pPr>
              <w:pStyle w:val="882"/>
              <w:jc w:val="both"/>
              <w:shd w:val="clear" w:color="auto" w:fill="auto"/>
              <w:tabs>
                <w:tab w:val="left" w:pos="2189" w:leader="none"/>
                <w:tab w:val="left" w:pos="2789" w:leader="none"/>
                <w:tab w:val="left" w:pos="4810" w:leader="none"/>
              </w:tabs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Проведение мероприятий по выявлению случаев возникновения конфликта интересов, одной из сторон которого являются лица, замещающие должности государственной службы к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атегории «руководители», и осуществление мер по предотвращению и урегулированию конфликта интересов, а также применение мер юридической </w:t>
            </w:r>
            <w:r>
              <w:rPr>
                <w:sz w:val="24"/>
                <w:szCs w:val="24"/>
                <w:lang w:eastAsia="ru-RU"/>
              </w:rPr>
              <w:t xml:space="preserve">ответственности, предусмотренных законодательством Российской Федерации</w:t>
            </w:r>
            <w:r>
              <w:rPr>
                <w:sz w:val="24"/>
                <w:szCs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государственной гражданской слу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жбы и кадров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Парфенюк А.А.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1 апреля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textDirection w:val="lrTb"/>
            <w:noWrap w:val="false"/>
          </w:tcPr>
          <w:p>
            <w:pPr>
              <w:jc w:val="both"/>
              <w:widowControl w:val="off"/>
              <w:tabs>
                <w:tab w:val="left" w:pos="1291" w:leader="none"/>
                <w:tab w:val="left" w:pos="3302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Доклад руководителю Управления об итогах проведенной работы за год 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 «руководители» и принятых мерах.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61" w:type="dxa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1.5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  <w:tc>
          <w:tcPr>
            <w:tcW w:w="5401" w:type="dxa"/>
            <w:textDirection w:val="lrTb"/>
            <w:noWrap w:val="false"/>
          </w:tcPr>
          <w:p>
            <w:pPr>
              <w:jc w:val="both"/>
              <w:widowControl w:val="off"/>
              <w:tabs>
                <w:tab w:val="left" w:pos="2784" w:leader="none"/>
                <w:tab w:val="left" w:pos="3403" w:leader="none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Р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ассмотрение на заседании Комиссии по соблюдению требований к служебному поведению гражданских служащих Управления Федерального казначейства по Московской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области ,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и урегулированию конфликта интересов (далее - Комиссия) доклада о принимаемых мерах по преду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преждению коррупции, в том числе о ходе реализации мероприятий настоящего Плана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Комиссии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Кандаурова Е.Ю.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государственной гражданской службы и кадров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Парфенюк А.А.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до 31 декабря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textDirection w:val="lrTb"/>
            <w:noWrap w:val="false"/>
          </w:tcPr>
          <w:p>
            <w:pPr>
              <w:pStyle w:val="8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Подготовлен соответствующий доклад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заслушан на заседании Комиссии.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Комиссией проведена оценка качества принимаемых в Управлении мер по предупреждению коррупции, результаты которой отражены в протоколе заседания Комиссии, при необходимости даны предложения о корректировке Плана.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61" w:type="dxa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401" w:type="dxa"/>
            <w:textDirection w:val="lrTb"/>
            <w:noWrap w:val="false"/>
          </w:tcPr>
          <w:p>
            <w:pPr>
              <w:pStyle w:val="8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Утратил силу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textDirection w:val="lrTb"/>
            <w:noWrap w:val="false"/>
          </w:tcPr>
          <w:p>
            <w:pPr>
              <w:pStyle w:val="8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61" w:type="dxa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</w:tcBorders>
            <w:tcW w:w="5401" w:type="dxa"/>
            <w:textDirection w:val="lrTb"/>
            <w:noWrap w:val="false"/>
          </w:tcPr>
          <w:p>
            <w:pPr>
              <w:pStyle w:val="882"/>
              <w:jc w:val="both"/>
              <w:shd w:val="clear" w:color="auto" w:fill="auto"/>
              <w:tabs>
                <w:tab w:val="left" w:pos="576" w:leader="none"/>
                <w:tab w:val="left" w:pos="1925" w:leader="none"/>
                <w:tab w:val="left" w:pos="3365" w:leader="none"/>
                <w:tab w:val="left" w:pos="4066" w:leader="none"/>
              </w:tabs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Проведение ежегодного анализа справок о доходах, расходах, об имуществе и обя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зательствах имущественного характера, представленных гражданскими служащими Управления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государственной гражданской службы и кадров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Парфенюк А.А.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до 31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декабря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4678" w:type="dxa"/>
            <w:vAlign w:val="bottom"/>
            <w:textDirection w:val="lrTb"/>
            <w:noWrap w:val="false"/>
          </w:tcPr>
          <w:p>
            <w:pPr>
              <w:pStyle w:val="882"/>
              <w:jc w:val="both"/>
              <w:shd w:val="clear" w:color="auto" w:fill="auto"/>
              <w:tabs>
                <w:tab w:val="left" w:pos="1915" w:leader="none"/>
                <w:tab w:val="left" w:pos="3614" w:leader="none"/>
              </w:tabs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А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налитическая записка на имя руководителя Управления с результа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тами проведённого анализа по отсутствию либо выявленным признакам нарушения законодательства Российской Федерации о федеральной государственной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гражданской службе и о противодействии коррупции федеральными государственными гражданскими служащими Управления</w:t>
            </w:r>
            <w:r/>
          </w:p>
        </w:tc>
      </w:tr>
      <w:tr>
        <w:tblPrEx/>
        <w:trPr/>
        <w:tc>
          <w:tcPr>
            <w:tcW w:w="661" w:type="dxa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</w:tcBorders>
            <w:tcW w:w="5401" w:type="dxa"/>
            <w:vAlign w:val="bottom"/>
            <w:textDirection w:val="lrTb"/>
            <w:noWrap w:val="false"/>
          </w:tcPr>
          <w:p>
            <w:pPr>
              <w:pStyle w:val="882"/>
              <w:jc w:val="both"/>
              <w:tabs>
                <w:tab w:val="left" w:pos="1810" w:leader="none"/>
                <w:tab w:val="left" w:pos="3341" w:leader="none"/>
                <w:tab w:val="left" w:pos="3946" w:leader="none"/>
              </w:tabs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Поддержание в актуальном состоянии личных дел гражданских служащих и работников,</w:t>
            </w:r>
            <w:r>
              <w:rPr>
                <w:color w:val="000000"/>
                <w:sz w:val="24"/>
                <w:szCs w:val="24"/>
                <w:lang w:eastAsia="ru-RU" w:bidi="ru-RU"/>
              </w:rPr>
            </w:r>
          </w:p>
          <w:p>
            <w:pPr>
              <w:pStyle w:val="882"/>
              <w:jc w:val="both"/>
              <w:tabs>
                <w:tab w:val="left" w:pos="1810" w:leader="none"/>
                <w:tab w:val="left" w:pos="3341" w:leader="none"/>
                <w:tab w:val="left" w:pos="3946" w:leader="none"/>
              </w:tabs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актуализация сведений, содержащихся в анкетах, представляемых при поступлении в Федеральное казначейство, об их родственниках и</w:t>
            </w:r>
            <w:r>
              <w:rPr>
                <w:color w:val="000000"/>
                <w:sz w:val="24"/>
                <w:szCs w:val="24"/>
                <w:lang w:eastAsia="ru-RU" w:bidi="ru-RU"/>
              </w:rPr>
            </w:r>
          </w:p>
          <w:p>
            <w:pPr>
              <w:pStyle w:val="882"/>
              <w:jc w:val="both"/>
              <w:tabs>
                <w:tab w:val="left" w:pos="1810" w:leader="none"/>
                <w:tab w:val="left" w:pos="3341" w:leader="none"/>
                <w:tab w:val="left" w:pos="3946" w:leader="none"/>
              </w:tabs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свойственниках в целях выявления возможно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го конфликта интересов</w:t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государственной гражданской службы и кадров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Парфенюк А.А.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до 30 сентября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4678" w:type="dxa"/>
            <w:textDirection w:val="lrTb"/>
            <w:noWrap w:val="false"/>
          </w:tcPr>
          <w:p>
            <w:pPr>
              <w:pStyle w:val="882"/>
              <w:jc w:val="both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Актуализация личных дел, предотвращение конфликта интересов на государственной службе.</w:t>
            </w:r>
            <w:r/>
          </w:p>
        </w:tc>
      </w:tr>
      <w:tr>
        <w:tblPrEx/>
        <w:trPr/>
        <w:tc>
          <w:tcPr>
            <w:tcW w:w="661" w:type="dxa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401" w:type="dxa"/>
            <w:textDirection w:val="lrTb"/>
            <w:noWrap w:val="false"/>
          </w:tcPr>
          <w:p>
            <w:pPr>
              <w:pStyle w:val="8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занятий по антикоррупционному просвещению гражданских служащих 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государственной гражданской службы и кадров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Парфенюк А.А.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 в полугодие до 28 февраля; до 30 сентября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textDirection w:val="lrTb"/>
            <w:noWrap w:val="false"/>
          </w:tcPr>
          <w:p>
            <w:pPr>
              <w:pStyle w:val="8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презентационных материалов и проведени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 занятий по антикоррупционному просвещению гражданских служащих Управления.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35"/>
        </w:trPr>
        <w:tc>
          <w:tcPr>
            <w:tcW w:w="661" w:type="dxa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401" w:type="dxa"/>
            <w:textDirection w:val="lrTb"/>
            <w:noWrap w:val="false"/>
          </w:tcPr>
          <w:p>
            <w:pPr>
              <w:pStyle w:val="8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граждан, поступающих на государственную службу, под роспись с нормативными документами, регламентирующими вопросы предупреждения и противодействия коррупции в Управлении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государственной гражданской службы и кадров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Парфенюк А.А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textDirection w:val="lrTb"/>
            <w:noWrap w:val="false"/>
          </w:tcPr>
          <w:p>
            <w:pPr>
              <w:pStyle w:val="866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Граждане, поступающие на государственную службу, ознакомлены под роспись с нормативными документами, регламентирующими вопросы предупреждения и противодействия коррупции в Управлении.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r>
          </w:p>
        </w:tc>
      </w:tr>
      <w:tr>
        <w:tblPrEx/>
        <w:trPr/>
        <w:tc>
          <w:tcPr>
            <w:tcW w:w="661" w:type="dxa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401" w:type="dxa"/>
            <w:textDirection w:val="lrTb"/>
            <w:noWrap w:val="false"/>
          </w:tcPr>
          <w:p>
            <w:pPr>
              <w:pStyle w:val="8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гражданских служащих Управления,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коррупции, в том числе их обучение по дополнительным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рофессиональным программам в области противодействия коррупции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государственной гражданской службы и кадров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Парфенюк А.А.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до 1 декабря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textDirection w:val="lrTb"/>
            <w:noWrap w:val="false"/>
          </w:tcPr>
          <w:p>
            <w:pPr>
              <w:pStyle w:val="8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профессионального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66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развития и качества выполнения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должностных обязанностей гражданских служащих Управления.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r>
          </w:p>
        </w:tc>
      </w:tr>
      <w:tr>
        <w:tblPrEx/>
        <w:trPr/>
        <w:tc>
          <w:tcPr>
            <w:tcW w:w="661" w:type="dxa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401" w:type="dxa"/>
            <w:textDirection w:val="lrTb"/>
            <w:noWrap w:val="false"/>
          </w:tcPr>
          <w:p>
            <w:pPr>
              <w:pStyle w:val="8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сотрудников, впервые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поступивших на государственную службу в Управление, и замещающих должности, связанные с соблюдением антикоррупционных стандартов, в мероприятиях по про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фессиональному развитию в области противодействия коррупции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государственной гражданской службы и кадров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Парфенюк А.А.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до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декабря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textDirection w:val="lrTb"/>
            <w:noWrap w:val="false"/>
          </w:tcPr>
          <w:p>
            <w:pPr>
              <w:pStyle w:val="8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профессионального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развития и качества выполнения должностных обязанностей гражда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нских служащих Управления.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661" w:type="dxa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401" w:type="dxa"/>
            <w:textDirection w:val="lrTb"/>
            <w:noWrap w:val="false"/>
          </w:tcPr>
          <w:p>
            <w:pPr>
              <w:pStyle w:val="8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контроля знаний федеральных государственных гражданских служащих Управления в области законодательства Российской Федерации о противодействии коррупции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государственной гражданской службы и кадров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Парфенюк А.А.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 декабря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textDirection w:val="lrTb"/>
            <w:noWrap w:val="false"/>
          </w:tcPr>
          <w:p>
            <w:pPr>
              <w:pStyle w:val="8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 уровень знаний федеральных государственных гражданских служащих Управления в области законодательства Российской Федерации о противодействии коррупции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61" w:type="dxa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4"/>
            <w:tcW w:w="14473" w:type="dxa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sz w:val="24"/>
                <w:szCs w:val="24"/>
              </w:rPr>
              <w:outlineLvl w:val="1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и систематизация причин и условий проявления коррупции в деятельности Управления, мониторинг рисков и их устранение (минимизация)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61" w:type="dxa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5400" w:type="dxa"/>
            <w:textDirection w:val="lrTb"/>
            <w:noWrap w:val="false"/>
          </w:tcPr>
          <w:p>
            <w:pPr>
              <w:pStyle w:val="8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антикоррупционной экспертизы проектов нормативных правовых актов и иных документов с учетом монитор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инга соответствующей правоприменительной практики в целях выявления коррупционных факторов и устранения таких факторов.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2552" w:type="dxa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Юридического отдела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66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Гаренских Е.К.</w:t>
            </w:r>
            <w:r/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HAnsi"/>
                <w:sz w:val="24"/>
                <w:szCs w:val="22"/>
                <w:lang w:eastAsia="en-US"/>
              </w:rPr>
              <w:t xml:space="preserve">Ежегодно до 28 февраля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4678" w:type="dxa"/>
            <w:textDirection w:val="lrTb"/>
            <w:noWrap w:val="false"/>
          </w:tcPr>
          <w:p>
            <w:pPr>
              <w:pStyle w:val="8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о результатах проведения антикоррупционной экспертизы проекто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локальных актов Управления с учетом мониторинга соответствующей правоприменительной практики в целях выявления коррупционных факторов и устранения таких факторов представлен руководителю 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61" w:type="dxa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400" w:type="dxa"/>
            <w:textDirection w:val="lrTb"/>
            <w:noWrap w:val="false"/>
          </w:tcPr>
          <w:p>
            <w:pPr>
              <w:jc w:val="both"/>
              <w:spacing w:line="253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мероприятий, направленных на выявление личной заинтересованности гражданских служащих Управления, которая приводит или может привести к конфликту интересов при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определении потребности (изменение потребности) в товарах, работах, услугах для обесп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ечения нужд Управления и участие в их приемке в порядке, установленном приказом Федерального казначейства</w:t>
            </w:r>
            <w:r/>
          </w:p>
        </w:tc>
        <w:tc>
          <w:tcPr>
            <w:tcW w:w="255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И.о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начальника Административно-финансового отдела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Шестаков С.А.,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Врио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начальника Отдела информационных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систем Степин П.А.,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режима секретности и безопасности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Плющенко Р.В.,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мобилизационной подготовки и гражданской обороны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Берлин А.А.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30 ноября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31 декабря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textDirection w:val="lrTb"/>
            <w:noWrap w:val="false"/>
          </w:tcPr>
          <w:p>
            <w:pPr>
              <w:pStyle w:val="8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 сбор и анализ деклараций о возможной личной заинтересованности гражданских служащих Управления, участвующих в определении потребности в товарах, работах, услугах и в их приемке для обеспечения нужд 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61" w:type="dxa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400" w:type="dxa"/>
            <w:textDirection w:val="lrTb"/>
            <w:noWrap w:val="false"/>
          </w:tcPr>
          <w:p>
            <w:pPr>
              <w:pStyle w:val="8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оценки коррупционных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рисков, возникающих при реализации Управлением установленных функций и должностей, замещение которых связано с коррупционными рисками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государственной гражданской службы и кадров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Парфенюк А.А.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декабря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textDirection w:val="lrTb"/>
            <w:noWrap w:val="false"/>
          </w:tcPr>
          <w:p>
            <w:pPr>
              <w:pStyle w:val="8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несение изменений в Пере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чень коррупционных рисков (при необходимости).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58"/>
        </w:trPr>
        <w:tc>
          <w:tcPr>
            <w:tcW w:w="661" w:type="dxa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4"/>
            <w:tcBorders>
              <w:bottom w:val="single" w:color="auto" w:sz="4" w:space="0"/>
            </w:tcBorders>
            <w:tcW w:w="14473" w:type="dxa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Мероприятия, направленные на противодействие коррупции, с учетом специфики деятельности Управления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</w:tc>
      </w:tr>
      <w:tr>
        <w:tblPrEx/>
        <w:trPr>
          <w:trHeight w:val="147"/>
        </w:trPr>
        <w:tc>
          <w:tcPr>
            <w:tcW w:w="661" w:type="dxa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40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мероприятий по исключению коррупционных рисков в ходе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осуществления  проверок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 при казначейском сопровождении в случаях, установленных актами Правительства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казначейского сопровождения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Максимов А.В.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66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66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31 декабря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коррупционных рисков в ходе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осуществления проверок при казначе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йском сопровождении в случаях, установленных актами Правительства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Подготовлен доклад руководителю Управления о результатах принятых мер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58"/>
        </w:trPr>
        <w:tc>
          <w:tcPr>
            <w:tcW w:w="661" w:type="dxa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4"/>
            <w:tcBorders>
              <w:bottom w:val="single" w:color="auto" w:sz="4" w:space="0"/>
            </w:tcBorders>
            <w:tcW w:w="14473" w:type="dxa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Взаимодействие Управления с институтами гражданского общества и гражданами,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  <w:p>
            <w:pPr>
              <w:pStyle w:val="866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обеспечение доступности информации о деятельности Управления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r>
          </w:p>
        </w:tc>
      </w:tr>
      <w:tr>
        <w:tblPrEx/>
        <w:trPr>
          <w:trHeight w:val="558"/>
        </w:trPr>
        <w:tc>
          <w:tcPr>
            <w:tcW w:w="661" w:type="dxa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400" w:type="dxa"/>
            <w:textDirection w:val="lrTb"/>
            <w:noWrap w:val="false"/>
          </w:tcPr>
          <w:p>
            <w:pPr>
              <w:pStyle w:val="8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размещения на официальном сайте Управления в информационно-телекоммуникационной сети «Интернет» информации об антикоррупционной деятельности, ведение специализированного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подраздел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«Противодействие коррупции»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государственной гражданской службы и кадров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Парфенюк А.А.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66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до 30 ноября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textDirection w:val="lrTb"/>
            <w:noWrap w:val="false"/>
          </w:tcPr>
          <w:p>
            <w:pPr>
              <w:pStyle w:val="8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Управления по итогам проведения мониторинга размещения на официальном сайте Управления в информационно-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коммуникационной сети «Интернет» информации об антикоррупционной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деятельности. Обеспечение доступа граждан и институтов гражданского общества к информации об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антикоррупционной деятельности Управления.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58"/>
        </w:trPr>
        <w:tc>
          <w:tcPr>
            <w:tcW w:w="661" w:type="dxa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5400" w:type="dxa"/>
            <w:textDirection w:val="lrTb"/>
            <w:noWrap w:val="false"/>
          </w:tcPr>
          <w:p>
            <w:pPr>
              <w:pStyle w:val="8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и обобщение результатов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рассмотрения обращений граждан и организаций по информации проявления коррупции 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Управлении, представленных: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лично;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«по телефону доверия»;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в электронном виде;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на бумажном носителе.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государственной гражданской службы и кадров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Парфе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нюк А.А.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И.о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начальника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финансового отдела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8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Шестаков А.С.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66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Ежегодно до 31 декабря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678" w:type="dxa"/>
            <w:textDirection w:val="lrTb"/>
            <w:noWrap w:val="false"/>
          </w:tcPr>
          <w:p>
            <w:pPr>
              <w:pStyle w:val="86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Управления по итогам анализа и обобщения практики рассмотрения обращений граждан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организаций о фактах проявления коррупции в Управлен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ии. Оперативное реагирование на возможные факты коррупции в Управлении или нарушение требований к служебному поведению гражданских служащих 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558"/>
        </w:trPr>
        <w:tc>
          <w:tcPr>
            <w:tcW w:w="661" w:type="dxa"/>
            <w:textDirection w:val="lrTb"/>
            <w:noWrap w:val="false"/>
          </w:tcPr>
          <w:p>
            <w:pPr>
              <w:pStyle w:val="8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</w:tcBorders>
            <w:tcW w:w="5400" w:type="dxa"/>
            <w:textDirection w:val="lrTb"/>
            <w:noWrap w:val="false"/>
          </w:tcPr>
          <w:p>
            <w:pPr>
              <w:pStyle w:val="882"/>
              <w:jc w:val="both"/>
              <w:shd w:val="clear" w:color="auto" w:fill="auto"/>
              <w:tabs>
                <w:tab w:val="left" w:pos="1646" w:leader="none"/>
                <w:tab w:val="left" w:pos="3221" w:leader="none"/>
                <w:tab w:val="left" w:pos="3797" w:leader="none"/>
              </w:tabs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Мониторинг публикаций в средствах массовой информации и в социальных сетях о фактах проявления коррупции в Управлении и организация проверки выявленных фактов</w:t>
            </w:r>
            <w:r/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</w:tcBorders>
            <w:tcW w:w="2552" w:type="dxa"/>
            <w:textDirection w:val="lrTb"/>
            <w:noWrap w:val="false"/>
          </w:tcPr>
          <w:p>
            <w:pPr>
              <w:pStyle w:val="882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Начальник Отдела государственной гражданской службы и кадров</w:t>
            </w:r>
            <w:r>
              <w:rPr>
                <w:color w:val="000000"/>
                <w:sz w:val="24"/>
                <w:szCs w:val="24"/>
                <w:lang w:eastAsia="ru-RU" w:bidi="ru-RU"/>
              </w:rPr>
            </w:r>
          </w:p>
          <w:p>
            <w:pPr>
              <w:pStyle w:val="882"/>
              <w:jc w:val="center"/>
            </w:pPr>
            <w:r>
              <w:rPr>
                <w:sz w:val="24"/>
                <w:szCs w:val="24"/>
              </w:rPr>
              <w:t xml:space="preserve">Парфенюк А.А.</w:t>
            </w:r>
            <w:r/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</w:tcBorders>
            <w:tcW w:w="1843" w:type="dxa"/>
            <w:textDirection w:val="lrTb"/>
            <w:noWrap w:val="false"/>
          </w:tcPr>
          <w:p>
            <w:pPr>
              <w:pStyle w:val="882"/>
              <w:jc w:val="center"/>
              <w:shd w:val="clear" w:color="auto" w:fill="auto"/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Ежегодно до 31 декабря</w:t>
            </w:r>
            <w:r/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4678" w:type="dxa"/>
            <w:vAlign w:val="bottom"/>
            <w:textDirection w:val="lrTb"/>
            <w:noWrap w:val="false"/>
          </w:tcPr>
          <w:p>
            <w:pPr>
              <w:pStyle w:val="882"/>
              <w:jc w:val="both"/>
              <w:tabs>
                <w:tab w:val="left" w:pos="1291" w:leader="none"/>
                <w:tab w:val="left" w:pos="3302" w:leader="none"/>
              </w:tabs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Доклад руководителю Управления по результатам мониторинга публикаций в средствах массовой информации и в социальных сетях о фактах проявления коррупции в Управлении и организация проверки выявленных фактов.</w:t>
            </w:r>
            <w:r/>
          </w:p>
        </w:tc>
      </w:tr>
    </w:tbl>
    <w:p>
      <w:r/>
      <w:r/>
    </w:p>
    <w:sectPr>
      <w:headerReference w:type="default" r:id="rId9"/>
      <w:footnotePr/>
      <w:endnotePr/>
      <w:type w:val="nextPage"/>
      <w:pgSz w:w="16838" w:h="11905" w:orient="landscape"/>
      <w:pgMar w:top="1134" w:right="567" w:bottom="1134" w:left="1134" w:header="567" w:footer="0" w:gutter="0"/>
      <w:pgNumType w:start="1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Tahoma">
    <w:panose1 w:val="020B0604030504040204"/>
  </w:font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011839453"/>
      <w:docPartObj>
        <w:docPartGallery w:val="Page Numbers (Top of Page)"/>
        <w:docPartUnique w:val="true"/>
      </w:docPartObj>
      <w:rPr>
        <w:rFonts w:ascii="Times New Roman" w:hAnsi="Times New Roman" w:cs="Times New Roman"/>
        <w:sz w:val="24"/>
      </w:rPr>
    </w:sdtPr>
    <w:sdtContent>
      <w:p>
        <w:pPr>
          <w:pStyle w:val="870"/>
          <w:jc w:val="center"/>
          <w:rPr>
            <w:rFonts w:ascii="Times New Roman" w:hAnsi="Times New Roman" w:cs="Times New Roman"/>
            <w:sz w:val="24"/>
          </w:rPr>
        </w:pPr>
        <w:r>
          <w:rPr>
            <w:rFonts w:ascii="Times New Roman" w:hAnsi="Times New Roman" w:cs="Times New Roman"/>
            <w:sz w:val="24"/>
          </w:rPr>
          <w:fldChar w:fldCharType="begin"/>
        </w:r>
        <w:r>
          <w:rPr>
            <w:rFonts w:ascii="Times New Roman" w:hAnsi="Times New Roman" w:cs="Times New Roman"/>
            <w:sz w:val="24"/>
          </w:rPr>
          <w:instrText xml:space="preserve">PAGE   \* MERGEFORMAT</w:instrText>
        </w:r>
        <w:r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sz w:val="24"/>
          </w:rPr>
          <w:t xml:space="preserve">4</w:t>
        </w:r>
        <w:r>
          <w:rPr>
            <w:rFonts w:ascii="Times New Roman" w:hAnsi="Times New Roman" w:cs="Times New Roman"/>
            <w:sz w:val="24"/>
          </w:rPr>
          <w:fldChar w:fldCharType="end"/>
        </w:r>
        <w:r>
          <w:rPr>
            <w:rFonts w:ascii="Times New Roman" w:hAnsi="Times New Roman" w:cs="Times New Roman"/>
            <w:sz w:val="24"/>
          </w:rPr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7"/>
      <w:numFmt w:val="bullet"/>
      <w:isLgl w:val="false"/>
      <w:suff w:val="tab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5" w:default="1">
    <w:name w:val="Normal"/>
    <w:qFormat/>
  </w:style>
  <w:style w:type="paragraph" w:styleId="676">
    <w:name w:val="Heading 1"/>
    <w:basedOn w:val="675"/>
    <w:next w:val="675"/>
    <w:link w:val="702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677">
    <w:name w:val="Heading 2"/>
    <w:basedOn w:val="675"/>
    <w:next w:val="675"/>
    <w:link w:val="703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678">
    <w:name w:val="Heading 3"/>
    <w:basedOn w:val="675"/>
    <w:next w:val="675"/>
    <w:link w:val="704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79">
    <w:name w:val="Heading 4"/>
    <w:basedOn w:val="675"/>
    <w:next w:val="675"/>
    <w:link w:val="705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80">
    <w:name w:val="Heading 5"/>
    <w:basedOn w:val="675"/>
    <w:next w:val="675"/>
    <w:link w:val="706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81">
    <w:name w:val="Heading 6"/>
    <w:basedOn w:val="675"/>
    <w:next w:val="675"/>
    <w:link w:val="707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682">
    <w:name w:val="Heading 7"/>
    <w:basedOn w:val="675"/>
    <w:next w:val="675"/>
    <w:link w:val="708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683">
    <w:name w:val="Heading 8"/>
    <w:basedOn w:val="675"/>
    <w:next w:val="675"/>
    <w:link w:val="709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684">
    <w:name w:val="Heading 9"/>
    <w:basedOn w:val="675"/>
    <w:next w:val="675"/>
    <w:link w:val="710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5" w:default="1">
    <w:name w:val="Default Paragraph Font"/>
    <w:uiPriority w:val="1"/>
    <w:semiHidden/>
    <w:unhideWhenUsed/>
  </w:style>
  <w:style w:type="table" w:styleId="68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7" w:default="1">
    <w:name w:val="No List"/>
    <w:uiPriority w:val="99"/>
    <w:semiHidden/>
    <w:unhideWhenUsed/>
  </w:style>
  <w:style w:type="character" w:styleId="688" w:customStyle="1">
    <w:name w:val="Heading 1 Char"/>
    <w:basedOn w:val="685"/>
    <w:uiPriority w:val="9"/>
    <w:rPr>
      <w:rFonts w:ascii="Arial" w:hAnsi="Arial" w:eastAsia="Arial" w:cs="Arial"/>
      <w:sz w:val="40"/>
      <w:szCs w:val="40"/>
    </w:rPr>
  </w:style>
  <w:style w:type="character" w:styleId="689" w:customStyle="1">
    <w:name w:val="Heading 2 Char"/>
    <w:basedOn w:val="685"/>
    <w:uiPriority w:val="9"/>
    <w:rPr>
      <w:rFonts w:ascii="Arial" w:hAnsi="Arial" w:eastAsia="Arial" w:cs="Arial"/>
      <w:sz w:val="34"/>
    </w:rPr>
  </w:style>
  <w:style w:type="character" w:styleId="690" w:customStyle="1">
    <w:name w:val="Heading 3 Char"/>
    <w:basedOn w:val="685"/>
    <w:uiPriority w:val="9"/>
    <w:rPr>
      <w:rFonts w:ascii="Arial" w:hAnsi="Arial" w:eastAsia="Arial" w:cs="Arial"/>
      <w:sz w:val="30"/>
      <w:szCs w:val="30"/>
    </w:rPr>
  </w:style>
  <w:style w:type="character" w:styleId="691" w:customStyle="1">
    <w:name w:val="Heading 4 Char"/>
    <w:basedOn w:val="685"/>
    <w:uiPriority w:val="9"/>
    <w:rPr>
      <w:rFonts w:ascii="Arial" w:hAnsi="Arial" w:eastAsia="Arial" w:cs="Arial"/>
      <w:b/>
      <w:bCs/>
      <w:sz w:val="26"/>
      <w:szCs w:val="26"/>
    </w:rPr>
  </w:style>
  <w:style w:type="character" w:styleId="692" w:customStyle="1">
    <w:name w:val="Heading 5 Char"/>
    <w:basedOn w:val="685"/>
    <w:uiPriority w:val="9"/>
    <w:rPr>
      <w:rFonts w:ascii="Arial" w:hAnsi="Arial" w:eastAsia="Arial" w:cs="Arial"/>
      <w:b/>
      <w:bCs/>
      <w:sz w:val="24"/>
      <w:szCs w:val="24"/>
    </w:rPr>
  </w:style>
  <w:style w:type="character" w:styleId="693" w:customStyle="1">
    <w:name w:val="Heading 6 Char"/>
    <w:basedOn w:val="685"/>
    <w:uiPriority w:val="9"/>
    <w:rPr>
      <w:rFonts w:ascii="Arial" w:hAnsi="Arial" w:eastAsia="Arial" w:cs="Arial"/>
      <w:b/>
      <w:bCs/>
      <w:sz w:val="22"/>
      <w:szCs w:val="22"/>
    </w:rPr>
  </w:style>
  <w:style w:type="character" w:styleId="694" w:customStyle="1">
    <w:name w:val="Heading 7 Char"/>
    <w:basedOn w:val="68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5" w:customStyle="1">
    <w:name w:val="Heading 8 Char"/>
    <w:basedOn w:val="685"/>
    <w:uiPriority w:val="9"/>
    <w:rPr>
      <w:rFonts w:ascii="Arial" w:hAnsi="Arial" w:eastAsia="Arial" w:cs="Arial"/>
      <w:i/>
      <w:iCs/>
      <w:sz w:val="22"/>
      <w:szCs w:val="22"/>
    </w:rPr>
  </w:style>
  <w:style w:type="character" w:styleId="696" w:customStyle="1">
    <w:name w:val="Heading 9 Char"/>
    <w:basedOn w:val="685"/>
    <w:uiPriority w:val="9"/>
    <w:rPr>
      <w:rFonts w:ascii="Arial" w:hAnsi="Arial" w:eastAsia="Arial" w:cs="Arial"/>
      <w:i/>
      <w:iCs/>
      <w:sz w:val="21"/>
      <w:szCs w:val="21"/>
    </w:rPr>
  </w:style>
  <w:style w:type="character" w:styleId="697" w:customStyle="1">
    <w:name w:val="Title Char"/>
    <w:basedOn w:val="685"/>
    <w:uiPriority w:val="10"/>
    <w:rPr>
      <w:sz w:val="48"/>
      <w:szCs w:val="48"/>
    </w:rPr>
  </w:style>
  <w:style w:type="character" w:styleId="698" w:customStyle="1">
    <w:name w:val="Subtitle Char"/>
    <w:basedOn w:val="685"/>
    <w:uiPriority w:val="11"/>
    <w:rPr>
      <w:sz w:val="24"/>
      <w:szCs w:val="24"/>
    </w:rPr>
  </w:style>
  <w:style w:type="character" w:styleId="699" w:customStyle="1">
    <w:name w:val="Quote Char"/>
    <w:uiPriority w:val="29"/>
    <w:rPr>
      <w:i/>
    </w:rPr>
  </w:style>
  <w:style w:type="character" w:styleId="700" w:customStyle="1">
    <w:name w:val="Intense Quote Char"/>
    <w:uiPriority w:val="30"/>
    <w:rPr>
      <w:i/>
    </w:rPr>
  </w:style>
  <w:style w:type="character" w:styleId="701" w:customStyle="1">
    <w:name w:val="Endnote Text Char"/>
    <w:uiPriority w:val="99"/>
    <w:rPr>
      <w:sz w:val="20"/>
    </w:rPr>
  </w:style>
  <w:style w:type="character" w:styleId="702" w:customStyle="1">
    <w:name w:val="Заголовок 1 Знак"/>
    <w:basedOn w:val="685"/>
    <w:link w:val="676"/>
    <w:uiPriority w:val="9"/>
    <w:rPr>
      <w:rFonts w:ascii="Arial" w:hAnsi="Arial" w:eastAsia="Arial" w:cs="Arial"/>
      <w:sz w:val="40"/>
      <w:szCs w:val="40"/>
    </w:rPr>
  </w:style>
  <w:style w:type="character" w:styleId="703" w:customStyle="1">
    <w:name w:val="Заголовок 2 Знак"/>
    <w:basedOn w:val="685"/>
    <w:link w:val="677"/>
    <w:uiPriority w:val="9"/>
    <w:rPr>
      <w:rFonts w:ascii="Arial" w:hAnsi="Arial" w:eastAsia="Arial" w:cs="Arial"/>
      <w:sz w:val="34"/>
    </w:rPr>
  </w:style>
  <w:style w:type="character" w:styleId="704" w:customStyle="1">
    <w:name w:val="Заголовок 3 Знак"/>
    <w:basedOn w:val="685"/>
    <w:link w:val="678"/>
    <w:uiPriority w:val="9"/>
    <w:rPr>
      <w:rFonts w:ascii="Arial" w:hAnsi="Arial" w:eastAsia="Arial" w:cs="Arial"/>
      <w:sz w:val="30"/>
      <w:szCs w:val="30"/>
    </w:rPr>
  </w:style>
  <w:style w:type="character" w:styleId="705" w:customStyle="1">
    <w:name w:val="Заголовок 4 Знак"/>
    <w:basedOn w:val="685"/>
    <w:link w:val="679"/>
    <w:uiPriority w:val="9"/>
    <w:rPr>
      <w:rFonts w:ascii="Arial" w:hAnsi="Arial" w:eastAsia="Arial" w:cs="Arial"/>
      <w:b/>
      <w:bCs/>
      <w:sz w:val="26"/>
      <w:szCs w:val="26"/>
    </w:rPr>
  </w:style>
  <w:style w:type="character" w:styleId="706" w:customStyle="1">
    <w:name w:val="Заголовок 5 Знак"/>
    <w:basedOn w:val="685"/>
    <w:link w:val="680"/>
    <w:uiPriority w:val="9"/>
    <w:rPr>
      <w:rFonts w:ascii="Arial" w:hAnsi="Arial" w:eastAsia="Arial" w:cs="Arial"/>
      <w:b/>
      <w:bCs/>
      <w:sz w:val="24"/>
      <w:szCs w:val="24"/>
    </w:rPr>
  </w:style>
  <w:style w:type="character" w:styleId="707" w:customStyle="1">
    <w:name w:val="Заголовок 6 Знак"/>
    <w:basedOn w:val="685"/>
    <w:link w:val="681"/>
    <w:uiPriority w:val="9"/>
    <w:rPr>
      <w:rFonts w:ascii="Arial" w:hAnsi="Arial" w:eastAsia="Arial" w:cs="Arial"/>
      <w:b/>
      <w:bCs/>
      <w:sz w:val="22"/>
      <w:szCs w:val="22"/>
    </w:rPr>
  </w:style>
  <w:style w:type="character" w:styleId="708" w:customStyle="1">
    <w:name w:val="Заголовок 7 Знак"/>
    <w:basedOn w:val="685"/>
    <w:link w:val="68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09" w:customStyle="1">
    <w:name w:val="Заголовок 8 Знак"/>
    <w:basedOn w:val="685"/>
    <w:link w:val="683"/>
    <w:uiPriority w:val="9"/>
    <w:rPr>
      <w:rFonts w:ascii="Arial" w:hAnsi="Arial" w:eastAsia="Arial" w:cs="Arial"/>
      <w:i/>
      <w:iCs/>
      <w:sz w:val="22"/>
      <w:szCs w:val="22"/>
    </w:rPr>
  </w:style>
  <w:style w:type="character" w:styleId="710" w:customStyle="1">
    <w:name w:val="Заголовок 9 Знак"/>
    <w:basedOn w:val="685"/>
    <w:link w:val="684"/>
    <w:uiPriority w:val="9"/>
    <w:rPr>
      <w:rFonts w:ascii="Arial" w:hAnsi="Arial" w:eastAsia="Arial" w:cs="Arial"/>
      <w:i/>
      <w:iCs/>
      <w:sz w:val="21"/>
      <w:szCs w:val="21"/>
    </w:rPr>
  </w:style>
  <w:style w:type="paragraph" w:styleId="711">
    <w:name w:val="List Paragraph"/>
    <w:basedOn w:val="675"/>
    <w:uiPriority w:val="34"/>
    <w:qFormat/>
    <w:pPr>
      <w:contextualSpacing/>
      <w:ind w:left="720"/>
    </w:pPr>
  </w:style>
  <w:style w:type="paragraph" w:styleId="712">
    <w:name w:val="No Spacing"/>
    <w:uiPriority w:val="1"/>
    <w:qFormat/>
    <w:pPr>
      <w:spacing w:after="0" w:line="240" w:lineRule="auto"/>
    </w:pPr>
  </w:style>
  <w:style w:type="paragraph" w:styleId="713">
    <w:name w:val="Title"/>
    <w:basedOn w:val="675"/>
    <w:next w:val="675"/>
    <w:link w:val="714"/>
    <w:uiPriority w:val="10"/>
    <w:qFormat/>
    <w:pPr>
      <w:contextualSpacing/>
      <w:spacing w:before="300"/>
    </w:pPr>
    <w:rPr>
      <w:sz w:val="48"/>
      <w:szCs w:val="48"/>
    </w:rPr>
  </w:style>
  <w:style w:type="character" w:styleId="714" w:customStyle="1">
    <w:name w:val="Название Знак"/>
    <w:basedOn w:val="685"/>
    <w:link w:val="713"/>
    <w:uiPriority w:val="10"/>
    <w:rPr>
      <w:sz w:val="48"/>
      <w:szCs w:val="48"/>
    </w:rPr>
  </w:style>
  <w:style w:type="paragraph" w:styleId="715">
    <w:name w:val="Subtitle"/>
    <w:basedOn w:val="675"/>
    <w:next w:val="675"/>
    <w:link w:val="716"/>
    <w:uiPriority w:val="11"/>
    <w:qFormat/>
    <w:pPr>
      <w:spacing w:before="200"/>
    </w:pPr>
    <w:rPr>
      <w:sz w:val="24"/>
      <w:szCs w:val="24"/>
    </w:rPr>
  </w:style>
  <w:style w:type="character" w:styleId="716" w:customStyle="1">
    <w:name w:val="Подзаголовок Знак"/>
    <w:basedOn w:val="685"/>
    <w:link w:val="715"/>
    <w:uiPriority w:val="11"/>
    <w:rPr>
      <w:sz w:val="24"/>
      <w:szCs w:val="24"/>
    </w:rPr>
  </w:style>
  <w:style w:type="paragraph" w:styleId="717">
    <w:name w:val="Quote"/>
    <w:basedOn w:val="675"/>
    <w:next w:val="675"/>
    <w:link w:val="718"/>
    <w:uiPriority w:val="29"/>
    <w:qFormat/>
    <w:pPr>
      <w:ind w:left="720" w:right="720"/>
    </w:pPr>
    <w:rPr>
      <w:i/>
    </w:rPr>
  </w:style>
  <w:style w:type="character" w:styleId="718" w:customStyle="1">
    <w:name w:val="Цитата 2 Знак"/>
    <w:link w:val="717"/>
    <w:uiPriority w:val="29"/>
    <w:rPr>
      <w:i/>
    </w:rPr>
  </w:style>
  <w:style w:type="paragraph" w:styleId="719">
    <w:name w:val="Intense Quote"/>
    <w:basedOn w:val="675"/>
    <w:next w:val="675"/>
    <w:link w:val="720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0" w:customStyle="1">
    <w:name w:val="Выделенная цитата Знак"/>
    <w:link w:val="719"/>
    <w:uiPriority w:val="30"/>
    <w:rPr>
      <w:i/>
    </w:rPr>
  </w:style>
  <w:style w:type="character" w:styleId="721" w:customStyle="1">
    <w:name w:val="Header Char"/>
    <w:basedOn w:val="685"/>
    <w:uiPriority w:val="99"/>
  </w:style>
  <w:style w:type="character" w:styleId="722" w:customStyle="1">
    <w:name w:val="Footer Char"/>
    <w:basedOn w:val="685"/>
    <w:uiPriority w:val="99"/>
  </w:style>
  <w:style w:type="paragraph" w:styleId="723">
    <w:name w:val="Caption"/>
    <w:basedOn w:val="675"/>
    <w:next w:val="675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724" w:customStyle="1">
    <w:name w:val="Caption Char"/>
    <w:uiPriority w:val="99"/>
  </w:style>
  <w:style w:type="table" w:styleId="725" w:customStyle="1">
    <w:name w:val="Table Grid Light"/>
    <w:basedOn w:val="686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6">
    <w:name w:val="Plain Table 1"/>
    <w:basedOn w:val="686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7">
    <w:name w:val="Plain Table 2"/>
    <w:basedOn w:val="68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8">
    <w:name w:val="Plain Table 3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9">
    <w:name w:val="Plain Table 4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Plain Table 5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1">
    <w:name w:val="Grid Table 1 Light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 w:customStyle="1">
    <w:name w:val="Grid Table 1 Light - Accent 1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 w:customStyle="1">
    <w:name w:val="Grid Table 1 Light - Accent 2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 w:customStyle="1">
    <w:name w:val="Grid Table 1 Light - Accent 3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 w:customStyle="1">
    <w:name w:val="Grid Table 1 Light - Accent 4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 w:customStyle="1">
    <w:name w:val="Grid Table 1 Light - Accent 5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 w:customStyle="1">
    <w:name w:val="Grid Table 1 Light - Accent 6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2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2 - Accent 1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2 - Accent 2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2 - Accent 3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2 - Accent 4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2 - Accent 5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2 - Accent 6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3 - Accent 1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3 - Accent 2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3 - Accent 3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3 - Accent 4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3 - Accent 5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3 - Accent 6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4"/>
    <w:basedOn w:val="68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3" w:customStyle="1">
    <w:name w:val="Grid Table 4 - Accent 1"/>
    <w:basedOn w:val="68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54" w:customStyle="1">
    <w:name w:val="Grid Table 4 - Accent 2"/>
    <w:basedOn w:val="68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55" w:customStyle="1">
    <w:name w:val="Grid Table 4 - Accent 3"/>
    <w:basedOn w:val="68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56" w:customStyle="1">
    <w:name w:val="Grid Table 4 - Accent 4"/>
    <w:basedOn w:val="68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57" w:customStyle="1">
    <w:name w:val="Grid Table 4 - Accent 5"/>
    <w:basedOn w:val="68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58" w:customStyle="1">
    <w:name w:val="Grid Table 4 - Accent 6"/>
    <w:basedOn w:val="68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59">
    <w:name w:val="Grid Table 5 Dark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60" w:customStyle="1">
    <w:name w:val="Grid Table 5 Dark- Accent 1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61" w:customStyle="1">
    <w:name w:val="Grid Table 5 Dark - Accent 2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62" w:customStyle="1">
    <w:name w:val="Grid Table 5 Dark - Accent 3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63" w:customStyle="1">
    <w:name w:val="Grid Table 5 Dark- Accent 4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64" w:customStyle="1">
    <w:name w:val="Grid Table 5 Dark - Accent 5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65" w:customStyle="1">
    <w:name w:val="Grid Table 5 Dark - Accent 6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66">
    <w:name w:val="Grid Table 6 Colorful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67" w:customStyle="1">
    <w:name w:val="Grid Table 6 Colorful - Accent 1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68" w:customStyle="1">
    <w:name w:val="Grid Table 6 Colorful - Accent 2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69" w:customStyle="1">
    <w:name w:val="Grid Table 6 Colorful - Accent 3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70" w:customStyle="1">
    <w:name w:val="Grid Table 6 Colorful - Accent 4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71" w:customStyle="1">
    <w:name w:val="Grid Table 6 Colorful - Accent 5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72" w:customStyle="1">
    <w:name w:val="Grid Table 6 Colorful - Accent 6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73">
    <w:name w:val="Grid Table 7 Colorful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4" w:customStyle="1">
    <w:name w:val="Grid Table 7 Colorful - Accent 1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5" w:customStyle="1">
    <w:name w:val="Grid Table 7 Colorful - Accent 2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6" w:customStyle="1">
    <w:name w:val="Grid Table 7 Colorful - Accent 3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7" w:customStyle="1">
    <w:name w:val="Grid Table 7 Colorful - Accent 4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8" w:customStyle="1">
    <w:name w:val="Grid Table 7 Colorful - Accent 5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9" w:customStyle="1">
    <w:name w:val="Grid Table 7 Colorful - Accent 6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0">
    <w:name w:val="List Table 1 Light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List Table 1 Light - Accent 1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List Table 1 Light - Accent 2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List Table 1 Light - Accent 3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List Table 1 Light - Accent 4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List Table 1 Light - Accent 5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List Table 1 Light - Accent 6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2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88" w:customStyle="1">
    <w:name w:val="List Table 2 - Accent 1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89" w:customStyle="1">
    <w:name w:val="List Table 2 - Accent 2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90" w:customStyle="1">
    <w:name w:val="List Table 2 - Accent 3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91" w:customStyle="1">
    <w:name w:val="List Table 2 - Accent 4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92" w:customStyle="1">
    <w:name w:val="List Table 2 - Accent 5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93" w:customStyle="1">
    <w:name w:val="List Table 2 - Accent 6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94">
    <w:name w:val="List Table 3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3 - Accent 1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3 - Accent 2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3 - Accent 3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3 - Accent 4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3 - Accent 5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3 - Accent 6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List Table 4 - Accent 1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4 - Accent 2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4 - Accent 3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4 - Accent 4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4 - Accent 5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4 - Accent 6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5 Dark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9" w:customStyle="1">
    <w:name w:val="List Table 5 Dark - Accent 1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0" w:customStyle="1">
    <w:name w:val="List Table 5 Dark - Accent 2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1" w:customStyle="1">
    <w:name w:val="List Table 5 Dark - Accent 3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2" w:customStyle="1">
    <w:name w:val="List Table 5 Dark - Accent 4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3" w:customStyle="1">
    <w:name w:val="List Table 5 Dark - Accent 5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4" w:customStyle="1">
    <w:name w:val="List Table 5 Dark - Accent 6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5">
    <w:name w:val="List Table 6 Colorful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16" w:customStyle="1">
    <w:name w:val="List Table 6 Colorful - Accent 1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17" w:customStyle="1">
    <w:name w:val="List Table 6 Colorful - Accent 2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18" w:customStyle="1">
    <w:name w:val="List Table 6 Colorful - Accent 3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19" w:customStyle="1">
    <w:name w:val="List Table 6 Colorful - Accent 4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20" w:customStyle="1">
    <w:name w:val="List Table 6 Colorful - Accent 5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21" w:customStyle="1">
    <w:name w:val="List Table 6 Colorful - Accent 6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22">
    <w:name w:val="List Table 7 Colorful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3" w:customStyle="1">
    <w:name w:val="List Table 7 Colorful - Accent 1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4" w:customStyle="1">
    <w:name w:val="List Table 7 Colorful - Accent 2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5" w:customStyle="1">
    <w:name w:val="List Table 7 Colorful - Accent 3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6" w:customStyle="1">
    <w:name w:val="List Table 7 Colorful - Accent 4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7" w:customStyle="1">
    <w:name w:val="List Table 7 Colorful - Accent 5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8" w:customStyle="1">
    <w:name w:val="List Table 7 Colorful - Accent 6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9" w:customStyle="1">
    <w:name w:val="Lined - Accent"/>
    <w:basedOn w:val="68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0" w:customStyle="1">
    <w:name w:val="Lined - Accent 1"/>
    <w:basedOn w:val="68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31" w:customStyle="1">
    <w:name w:val="Lined - Accent 2"/>
    <w:basedOn w:val="68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32" w:customStyle="1">
    <w:name w:val="Lined - Accent 3"/>
    <w:basedOn w:val="68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33" w:customStyle="1">
    <w:name w:val="Lined - Accent 4"/>
    <w:basedOn w:val="68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34" w:customStyle="1">
    <w:name w:val="Lined - Accent 5"/>
    <w:basedOn w:val="68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35" w:customStyle="1">
    <w:name w:val="Lined - Accent 6"/>
    <w:basedOn w:val="68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36" w:customStyle="1">
    <w:name w:val="Bordered &amp; Lined - Accent"/>
    <w:basedOn w:val="68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7" w:customStyle="1">
    <w:name w:val="Bordered &amp; Lined - Accent 1"/>
    <w:basedOn w:val="68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38" w:customStyle="1">
    <w:name w:val="Bordered &amp; Lined - Accent 2"/>
    <w:basedOn w:val="68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39" w:customStyle="1">
    <w:name w:val="Bordered &amp; Lined - Accent 3"/>
    <w:basedOn w:val="68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40" w:customStyle="1">
    <w:name w:val="Bordered &amp; Lined - Accent 4"/>
    <w:basedOn w:val="68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41" w:customStyle="1">
    <w:name w:val="Bordered &amp; Lined - Accent 5"/>
    <w:basedOn w:val="68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42" w:customStyle="1">
    <w:name w:val="Bordered &amp; Lined - Accent 6"/>
    <w:basedOn w:val="686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43" w:customStyle="1">
    <w:name w:val="Bordered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44" w:customStyle="1">
    <w:name w:val="Bordered - Accent 1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45" w:customStyle="1">
    <w:name w:val="Bordered - Accent 2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46" w:customStyle="1">
    <w:name w:val="Bordered - Accent 3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47" w:customStyle="1">
    <w:name w:val="Bordered - Accent 4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48" w:customStyle="1">
    <w:name w:val="Bordered - Accent 5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49" w:customStyle="1">
    <w:name w:val="Bordered - Accent 6"/>
    <w:basedOn w:val="6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50">
    <w:name w:val="Hyperlink"/>
    <w:uiPriority w:val="99"/>
    <w:unhideWhenUsed/>
    <w:rPr>
      <w:color w:val="0000ff" w:themeColor="hyperlink"/>
      <w:u w:val="single"/>
    </w:rPr>
  </w:style>
  <w:style w:type="character" w:styleId="851" w:customStyle="1">
    <w:name w:val="Footnote Text Char"/>
    <w:uiPriority w:val="99"/>
    <w:rPr>
      <w:sz w:val="18"/>
    </w:rPr>
  </w:style>
  <w:style w:type="paragraph" w:styleId="852">
    <w:name w:val="endnote text"/>
    <w:basedOn w:val="675"/>
    <w:link w:val="853"/>
    <w:uiPriority w:val="99"/>
    <w:semiHidden/>
    <w:unhideWhenUsed/>
    <w:pPr>
      <w:spacing w:after="0" w:line="240" w:lineRule="auto"/>
    </w:pPr>
    <w:rPr>
      <w:sz w:val="20"/>
    </w:rPr>
  </w:style>
  <w:style w:type="character" w:styleId="853" w:customStyle="1">
    <w:name w:val="Текст концевой сноски Знак"/>
    <w:link w:val="852"/>
    <w:uiPriority w:val="99"/>
    <w:rPr>
      <w:sz w:val="20"/>
    </w:rPr>
  </w:style>
  <w:style w:type="character" w:styleId="854">
    <w:name w:val="endnote reference"/>
    <w:basedOn w:val="685"/>
    <w:uiPriority w:val="99"/>
    <w:semiHidden/>
    <w:unhideWhenUsed/>
    <w:rPr>
      <w:vertAlign w:val="superscript"/>
    </w:rPr>
  </w:style>
  <w:style w:type="paragraph" w:styleId="855">
    <w:name w:val="toc 1"/>
    <w:basedOn w:val="675"/>
    <w:next w:val="675"/>
    <w:uiPriority w:val="39"/>
    <w:unhideWhenUsed/>
    <w:pPr>
      <w:spacing w:after="57"/>
    </w:pPr>
  </w:style>
  <w:style w:type="paragraph" w:styleId="856">
    <w:name w:val="toc 2"/>
    <w:basedOn w:val="675"/>
    <w:next w:val="675"/>
    <w:uiPriority w:val="39"/>
    <w:unhideWhenUsed/>
    <w:pPr>
      <w:ind w:left="283"/>
      <w:spacing w:after="57"/>
    </w:pPr>
  </w:style>
  <w:style w:type="paragraph" w:styleId="857">
    <w:name w:val="toc 3"/>
    <w:basedOn w:val="675"/>
    <w:next w:val="675"/>
    <w:uiPriority w:val="39"/>
    <w:unhideWhenUsed/>
    <w:pPr>
      <w:ind w:left="567"/>
      <w:spacing w:after="57"/>
    </w:pPr>
  </w:style>
  <w:style w:type="paragraph" w:styleId="858">
    <w:name w:val="toc 4"/>
    <w:basedOn w:val="675"/>
    <w:next w:val="675"/>
    <w:uiPriority w:val="39"/>
    <w:unhideWhenUsed/>
    <w:pPr>
      <w:ind w:left="850"/>
      <w:spacing w:after="57"/>
    </w:pPr>
  </w:style>
  <w:style w:type="paragraph" w:styleId="859">
    <w:name w:val="toc 5"/>
    <w:basedOn w:val="675"/>
    <w:next w:val="675"/>
    <w:uiPriority w:val="39"/>
    <w:unhideWhenUsed/>
    <w:pPr>
      <w:ind w:left="1134"/>
      <w:spacing w:after="57"/>
    </w:pPr>
  </w:style>
  <w:style w:type="paragraph" w:styleId="860">
    <w:name w:val="toc 6"/>
    <w:basedOn w:val="675"/>
    <w:next w:val="675"/>
    <w:uiPriority w:val="39"/>
    <w:unhideWhenUsed/>
    <w:pPr>
      <w:ind w:left="1417"/>
      <w:spacing w:after="57"/>
    </w:pPr>
  </w:style>
  <w:style w:type="paragraph" w:styleId="861">
    <w:name w:val="toc 7"/>
    <w:basedOn w:val="675"/>
    <w:next w:val="675"/>
    <w:uiPriority w:val="39"/>
    <w:unhideWhenUsed/>
    <w:pPr>
      <w:ind w:left="1701"/>
      <w:spacing w:after="57"/>
    </w:pPr>
  </w:style>
  <w:style w:type="paragraph" w:styleId="862">
    <w:name w:val="toc 8"/>
    <w:basedOn w:val="675"/>
    <w:next w:val="675"/>
    <w:uiPriority w:val="39"/>
    <w:unhideWhenUsed/>
    <w:pPr>
      <w:ind w:left="1984"/>
      <w:spacing w:after="57"/>
    </w:pPr>
  </w:style>
  <w:style w:type="paragraph" w:styleId="863">
    <w:name w:val="toc 9"/>
    <w:basedOn w:val="675"/>
    <w:next w:val="675"/>
    <w:uiPriority w:val="39"/>
    <w:unhideWhenUsed/>
    <w:pPr>
      <w:ind w:left="2268"/>
      <w:spacing w:after="57"/>
    </w:pPr>
  </w:style>
  <w:style w:type="paragraph" w:styleId="864">
    <w:name w:val="TOC Heading"/>
    <w:uiPriority w:val="39"/>
    <w:unhideWhenUsed/>
  </w:style>
  <w:style w:type="paragraph" w:styleId="865">
    <w:name w:val="table of figures"/>
    <w:basedOn w:val="675"/>
    <w:next w:val="675"/>
    <w:uiPriority w:val="99"/>
    <w:unhideWhenUsed/>
    <w:pPr>
      <w:spacing w:after="0"/>
    </w:pPr>
  </w:style>
  <w:style w:type="paragraph" w:styleId="866" w:customStyle="1">
    <w:name w:val="ConsPlusNormal"/>
    <w:pPr>
      <w:spacing w:after="0" w:line="240" w:lineRule="auto"/>
      <w:widowControl w:val="off"/>
    </w:pPr>
    <w:rPr>
      <w:rFonts w:ascii="Calibri" w:hAnsi="Calibri" w:eastAsia="Times New Roman" w:cs="Calibri"/>
      <w:szCs w:val="20"/>
      <w:lang w:eastAsia="ru-RU"/>
    </w:rPr>
  </w:style>
  <w:style w:type="paragraph" w:styleId="867" w:customStyle="1">
    <w:name w:val="ConsPlusTitle"/>
    <w:pPr>
      <w:spacing w:after="0" w:line="240" w:lineRule="auto"/>
      <w:widowControl w:val="off"/>
    </w:pPr>
    <w:rPr>
      <w:rFonts w:ascii="Calibri" w:hAnsi="Calibri" w:eastAsia="Times New Roman" w:cs="Calibri"/>
      <w:b/>
      <w:szCs w:val="20"/>
      <w:lang w:eastAsia="ru-RU"/>
    </w:rPr>
  </w:style>
  <w:style w:type="paragraph" w:styleId="868" w:customStyle="1">
    <w:name w:val="ConsPlusTitlePage"/>
    <w:pPr>
      <w:spacing w:after="0" w:line="240" w:lineRule="auto"/>
      <w:widowControl w:val="off"/>
    </w:pPr>
    <w:rPr>
      <w:rFonts w:ascii="Tahoma" w:hAnsi="Tahoma" w:eastAsia="Times New Roman" w:cs="Tahoma"/>
      <w:sz w:val="20"/>
      <w:szCs w:val="20"/>
      <w:lang w:eastAsia="ru-RU"/>
    </w:rPr>
  </w:style>
  <w:style w:type="character" w:styleId="869" w:customStyle="1">
    <w:name w:val="Font Style22"/>
    <w:basedOn w:val="685"/>
    <w:uiPriority w:val="99"/>
    <w:rPr>
      <w:rFonts w:hint="default" w:ascii="Times New Roman" w:hAnsi="Times New Roman" w:cs="Times New Roman"/>
      <w:sz w:val="20"/>
      <w:szCs w:val="20"/>
    </w:rPr>
  </w:style>
  <w:style w:type="paragraph" w:styleId="870">
    <w:name w:val="Header"/>
    <w:basedOn w:val="675"/>
    <w:link w:val="871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71" w:customStyle="1">
    <w:name w:val="Верхний колонтитул Знак"/>
    <w:basedOn w:val="685"/>
    <w:link w:val="870"/>
    <w:uiPriority w:val="99"/>
  </w:style>
  <w:style w:type="paragraph" w:styleId="872">
    <w:name w:val="Footer"/>
    <w:basedOn w:val="675"/>
    <w:link w:val="873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73" w:customStyle="1">
    <w:name w:val="Нижний колонтитул Знак"/>
    <w:basedOn w:val="685"/>
    <w:link w:val="872"/>
    <w:uiPriority w:val="99"/>
  </w:style>
  <w:style w:type="paragraph" w:styleId="874">
    <w:name w:val="Balloon Text"/>
    <w:basedOn w:val="675"/>
    <w:link w:val="87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75" w:customStyle="1">
    <w:name w:val="Текст выноски Знак"/>
    <w:basedOn w:val="685"/>
    <w:link w:val="874"/>
    <w:uiPriority w:val="99"/>
    <w:semiHidden/>
    <w:rPr>
      <w:rFonts w:ascii="Tahoma" w:hAnsi="Tahoma" w:cs="Tahoma"/>
      <w:sz w:val="16"/>
      <w:szCs w:val="16"/>
    </w:rPr>
  </w:style>
  <w:style w:type="paragraph" w:styleId="876">
    <w:name w:val="Revision"/>
    <w:hidden/>
    <w:uiPriority w:val="99"/>
    <w:semiHidden/>
    <w:pPr>
      <w:spacing w:after="0" w:line="240" w:lineRule="auto"/>
    </w:pPr>
  </w:style>
  <w:style w:type="table" w:styleId="877">
    <w:name w:val="Table Grid"/>
    <w:basedOn w:val="68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878">
    <w:name w:val="footnote text"/>
    <w:basedOn w:val="675"/>
    <w:link w:val="879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879" w:customStyle="1">
    <w:name w:val="Текст сноски Знак"/>
    <w:basedOn w:val="685"/>
    <w:link w:val="878"/>
    <w:uiPriority w:val="99"/>
    <w:semiHidden/>
    <w:rPr>
      <w:sz w:val="20"/>
      <w:szCs w:val="20"/>
    </w:rPr>
  </w:style>
  <w:style w:type="character" w:styleId="880">
    <w:name w:val="footnote reference"/>
    <w:basedOn w:val="685"/>
    <w:uiPriority w:val="99"/>
    <w:semiHidden/>
    <w:unhideWhenUsed/>
    <w:rPr>
      <w:vertAlign w:val="superscript"/>
    </w:rPr>
  </w:style>
  <w:style w:type="character" w:styleId="881" w:customStyle="1">
    <w:name w:val="Другое_"/>
    <w:basedOn w:val="685"/>
    <w:link w:val="882"/>
    <w:rPr>
      <w:rFonts w:ascii="Times New Roman" w:hAnsi="Times New Roman" w:eastAsia="Times New Roman" w:cs="Times New Roman"/>
      <w:shd w:val="clear" w:color="auto" w:fill="ffffff"/>
    </w:rPr>
  </w:style>
  <w:style w:type="paragraph" w:styleId="882" w:customStyle="1">
    <w:name w:val="Другое"/>
    <w:basedOn w:val="675"/>
    <w:link w:val="881"/>
    <w:pPr>
      <w:spacing w:after="0" w:line="240" w:lineRule="auto"/>
      <w:shd w:val="clear" w:color="auto" w:fill="ffffff"/>
      <w:widowControl w:val="off"/>
    </w:pPr>
    <w:rPr>
      <w:rFonts w:ascii="Times New Roman" w:hAnsi="Times New Roman" w:eastAsia="Times New Roman" w:cs="Times New Roman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F3E06C-C3B8-460F-A891-ECAA4EB6BB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Company>ФК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Аниканова Наталья Вадимовна</dc:creator>
  <cp:lastModifiedBy>Аноним</cp:lastModifiedBy>
  <cp:revision>23</cp:revision>
  <dcterms:created xsi:type="dcterms:W3CDTF">2024-07-16T10:41:00Z</dcterms:created>
  <dcterms:modified xsi:type="dcterms:W3CDTF">2026-06-10T05:48:13Z</dcterms:modified>
</cp:coreProperties>
</file>